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153" w:rsidRPr="00DA7F4C" w:rsidRDefault="00DD38F8" w:rsidP="00717153">
      <w:pPr>
        <w:pStyle w:val="NoSpacing"/>
        <w:jc w:val="both"/>
        <w:rPr>
          <w:rFonts w:ascii="Times New Roman" w:hAnsi="Times New Roman" w:cs="Times New Roman"/>
          <w:b/>
          <w:bCs/>
          <w:sz w:val="32"/>
          <w:szCs w:val="32"/>
        </w:rPr>
      </w:pPr>
      <w:r w:rsidRPr="00DA7F4C">
        <w:rPr>
          <w:rFonts w:ascii="Times New Roman" w:hAnsi="Times New Roman" w:cs="Times New Roman"/>
          <w:b/>
          <w:bCs/>
          <w:sz w:val="32"/>
          <w:szCs w:val="32"/>
        </w:rPr>
        <w:t>Right to Equality for Women under the Indian Constitution: Scope, Challenges, and Judicial Interpretation</w:t>
      </w:r>
    </w:p>
    <w:p w:rsidR="00717153" w:rsidRPr="00DA7F4C" w:rsidRDefault="00717153" w:rsidP="00DA7F4C">
      <w:pPr>
        <w:pStyle w:val="NoSpacing"/>
        <w:ind w:left="1440"/>
        <w:rPr>
          <w:rFonts w:ascii="Times New Roman" w:hAnsi="Times New Roman" w:cs="Times New Roman"/>
          <w:b/>
          <w:i/>
          <w:iCs/>
          <w:color w:val="000000" w:themeColor="text1"/>
          <w:sz w:val="24"/>
          <w:szCs w:val="24"/>
        </w:rPr>
      </w:pPr>
      <w:r w:rsidRPr="00DA7F4C">
        <w:rPr>
          <w:rFonts w:ascii="Times New Roman" w:hAnsi="Times New Roman" w:cs="Times New Roman"/>
          <w:b/>
          <w:i/>
          <w:iCs/>
          <w:color w:val="000000" w:themeColor="text1"/>
          <w:sz w:val="24"/>
          <w:szCs w:val="24"/>
        </w:rPr>
        <w:t>Pooran Chandra Pande</w:t>
      </w:r>
      <w:r w:rsidRPr="00DA7F4C">
        <w:rPr>
          <w:rStyle w:val="FootnoteReference"/>
          <w:rFonts w:ascii="Times New Roman" w:hAnsi="Times New Roman" w:cs="Times New Roman"/>
          <w:b/>
          <w:bCs/>
          <w:i/>
          <w:iCs/>
          <w:color w:val="000000" w:themeColor="text1"/>
          <w:sz w:val="24"/>
          <w:szCs w:val="24"/>
        </w:rPr>
        <w:footnoteReference w:id="2"/>
      </w:r>
    </w:p>
    <w:p w:rsidR="00DA7F4C" w:rsidRPr="008A4936" w:rsidRDefault="00DA7F4C" w:rsidP="00DA7F4C">
      <w:pPr>
        <w:pStyle w:val="NoSpacing"/>
        <w:ind w:left="1440"/>
        <w:rPr>
          <w:i/>
          <w:iCs/>
          <w:sz w:val="32"/>
          <w:szCs w:val="32"/>
        </w:rPr>
      </w:pPr>
    </w:p>
    <w:p w:rsidR="001D66FB" w:rsidRPr="0088206F" w:rsidRDefault="001D66FB" w:rsidP="0088206F">
      <w:pPr>
        <w:pStyle w:val="NoSpacing"/>
        <w:rPr>
          <w:rFonts w:ascii="Times New Roman" w:hAnsi="Times New Roman" w:cs="Times New Roman"/>
          <w:b/>
          <w:bCs/>
          <w:i/>
          <w:iCs/>
          <w:sz w:val="24"/>
          <w:szCs w:val="24"/>
          <w:u w:val="single"/>
        </w:rPr>
      </w:pPr>
      <w:r w:rsidRPr="0088206F">
        <w:rPr>
          <w:rFonts w:ascii="Times New Roman" w:hAnsi="Times New Roman" w:cs="Times New Roman"/>
          <w:b/>
          <w:bCs/>
          <w:i/>
          <w:iCs/>
          <w:sz w:val="24"/>
          <w:szCs w:val="24"/>
          <w:u w:val="single"/>
        </w:rPr>
        <w:t>Abstract</w:t>
      </w:r>
    </w:p>
    <w:p w:rsidR="00C078FD" w:rsidRDefault="008E2D80" w:rsidP="00CD2EE0">
      <w:pPr>
        <w:pStyle w:val="NoSpacing"/>
        <w:jc w:val="both"/>
        <w:rPr>
          <w:rFonts w:ascii="Times New Roman" w:hAnsi="Times New Roman" w:cs="Times New Roman"/>
          <w:sz w:val="24"/>
          <w:szCs w:val="24"/>
        </w:rPr>
      </w:pPr>
      <w:r w:rsidRPr="00CD2EE0">
        <w:rPr>
          <w:rFonts w:ascii="Times New Roman" w:hAnsi="Times New Roman" w:cs="Times New Roman"/>
          <w:sz w:val="24"/>
          <w:szCs w:val="24"/>
        </w:rPr>
        <w:t xml:space="preserve">In the articles 14, 15 and 16, there is the provision for gender equality within the Indian constitution. This implies that Article 14 gives an indication that equality must exist before the law while Article 15 states that there must not be any form of discrimination against someone because of her gender. Additionally, Article 16 provides the guarantee of equal opportunity in terms of public office jobs. From this view, all the three articles contain gender equality provisions in the Indian constitution. Despite the availability of legal systems in India, sometimes the issue of gender inequality and discrimination becomes prevalent owing to reasons such as patriarchy, social economic disparity, illiteracy, unemployment, and others. </w:t>
      </w:r>
    </w:p>
    <w:p w:rsidR="00CD2EE0" w:rsidRPr="00CD2EE0" w:rsidRDefault="00CD2EE0" w:rsidP="00CD2EE0">
      <w:pPr>
        <w:pStyle w:val="NoSpacing"/>
        <w:jc w:val="both"/>
        <w:rPr>
          <w:rFonts w:ascii="Times New Roman" w:hAnsi="Times New Roman" w:cs="Times New Roman"/>
          <w:sz w:val="24"/>
          <w:szCs w:val="24"/>
        </w:rPr>
      </w:pPr>
    </w:p>
    <w:p w:rsidR="00AF5A85" w:rsidRDefault="00C078FD" w:rsidP="00CD2EE0">
      <w:pPr>
        <w:pStyle w:val="NoSpacing"/>
        <w:jc w:val="both"/>
        <w:rPr>
          <w:rFonts w:ascii="Times New Roman" w:hAnsi="Times New Roman" w:cs="Times New Roman"/>
          <w:sz w:val="24"/>
          <w:szCs w:val="24"/>
        </w:rPr>
      </w:pPr>
      <w:r w:rsidRPr="00CD2EE0">
        <w:rPr>
          <w:rFonts w:ascii="Times New Roman" w:hAnsi="Times New Roman" w:cs="Times New Roman"/>
          <w:sz w:val="24"/>
          <w:szCs w:val="24"/>
        </w:rPr>
        <w:t>The study also looks at the transformative power of judicial interpretation in terms of achieving gender justice from various landmark judgments which have helped in expanding the concept of equality by adding dimensions such as dignity, autonomy, and non-discrimination. By analysing the disparity between what is expected under the constitution and the realities of society, the study shows the need for an integrated approach to achieve gender equality by involving law and society together.</w:t>
      </w:r>
    </w:p>
    <w:p w:rsidR="00A53D16" w:rsidRDefault="00A53D16" w:rsidP="00CD2EE0">
      <w:pPr>
        <w:spacing w:line="360" w:lineRule="auto"/>
        <w:jc w:val="both"/>
        <w:rPr>
          <w:rFonts w:ascii="Times New Roman" w:hAnsi="Times New Roman" w:cs="Times New Roman"/>
          <w:b/>
          <w:bCs/>
          <w:sz w:val="24"/>
          <w:szCs w:val="24"/>
        </w:rPr>
      </w:pPr>
    </w:p>
    <w:p w:rsidR="00C078FD" w:rsidRPr="00456964" w:rsidRDefault="00987F46" w:rsidP="00CD2EE0">
      <w:pPr>
        <w:spacing w:line="360" w:lineRule="auto"/>
        <w:jc w:val="both"/>
        <w:rPr>
          <w:rFonts w:ascii="Times New Roman" w:hAnsi="Times New Roman" w:cs="Times New Roman"/>
          <w:sz w:val="24"/>
          <w:szCs w:val="24"/>
        </w:rPr>
      </w:pPr>
      <w:r w:rsidRPr="00456964">
        <w:rPr>
          <w:rFonts w:ascii="Times New Roman" w:hAnsi="Times New Roman" w:cs="Times New Roman"/>
          <w:b/>
          <w:bCs/>
          <w:sz w:val="24"/>
          <w:szCs w:val="24"/>
        </w:rPr>
        <w:lastRenderedPageBreak/>
        <w:t xml:space="preserve">Keywords:  </w:t>
      </w:r>
      <w:r w:rsidRPr="00456964">
        <w:rPr>
          <w:rFonts w:ascii="Times New Roman" w:hAnsi="Times New Roman" w:cs="Times New Roman"/>
          <w:sz w:val="24"/>
          <w:szCs w:val="24"/>
        </w:rPr>
        <w:t xml:space="preserve">Gender Equality, Indian Constitution, Judicial Interpretation and Women’s Rights, </w:t>
      </w:r>
    </w:p>
    <w:p w:rsidR="00717153" w:rsidRDefault="00717153" w:rsidP="00044369">
      <w:pPr>
        <w:pStyle w:val="NoSpacing"/>
        <w:jc w:val="both"/>
        <w:rPr>
          <w:rFonts w:ascii="Times New Roman" w:hAnsi="Times New Roman" w:cs="Times New Roman"/>
          <w:b/>
          <w:bCs/>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1. Introduction</w:t>
      </w:r>
    </w:p>
    <w:p w:rsidR="00044369" w:rsidRPr="00044369" w:rsidRDefault="00044369" w:rsidP="00044369">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107"/>
        </w:rPr>
      </w:pPr>
      <w:r w:rsidRPr="00044369">
        <w:rPr>
          <w:rFonts w:ascii="Times New Roman" w:hAnsi="Times New Roman" w:cs="Times New Roman"/>
          <w:position w:val="-10"/>
          <w:sz w:val="107"/>
          <w:szCs w:val="107"/>
        </w:rPr>
        <w:t>G</w:t>
      </w:r>
    </w:p>
    <w:p w:rsidR="00AB0078" w:rsidRDefault="00AB0078"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ender equality has always been one of the most essential rights of humanity, without which no egalitarian society could ever exist. There are many aspects of gender equality that are covered under the Indian Constitution. Gender equality was one of the major aims when formulating the Indian Constitution. In the case of gender equality, it can be stated that it is about making sure that individuals are not subjected to discrimination in any manner whatsoever. According to Article 14, equality refers to equality before the law and the equal protection of the law. Although Article 14 is procedural, the equality provided by Article 14 leads to substantive equality due to the evolutionary nature of equality. While Article 14 allows equality of all, Article 15 prohibits discrimination against any person solely based on her sex and empowers the state to take any measure to ensure equality between women and men. In addition, Article 16 guarantees equality of opportunities for public employment.</w:t>
      </w:r>
    </w:p>
    <w:p w:rsidR="00044369" w:rsidRPr="00044369" w:rsidRDefault="00044369" w:rsidP="00044369">
      <w:pPr>
        <w:pStyle w:val="NoSpacing"/>
        <w:jc w:val="both"/>
        <w:rPr>
          <w:rFonts w:ascii="Times New Roman" w:hAnsi="Times New Roman" w:cs="Times New Roman"/>
          <w:sz w:val="24"/>
          <w:szCs w:val="24"/>
        </w:rPr>
      </w:pPr>
    </w:p>
    <w:p w:rsidR="00143603" w:rsidRDefault="00143603" w:rsidP="00044369">
      <w:pPr>
        <w:pStyle w:val="NoSpacing"/>
        <w:jc w:val="both"/>
        <w:rPr>
          <w:rFonts w:ascii="Times New Roman" w:hAnsi="Times New Roman" w:cs="Times New Roman"/>
          <w:sz w:val="24"/>
          <w:szCs w:val="24"/>
        </w:rPr>
      </w:pPr>
      <w:r w:rsidRPr="0093649F">
        <w:rPr>
          <w:rFonts w:ascii="Times New Roman" w:hAnsi="Times New Roman" w:cs="Times New Roman"/>
          <w:sz w:val="24"/>
          <w:szCs w:val="24"/>
        </w:rPr>
        <w:t>However, despite all these measures taken to guarantee equal rights to women in comparison to those that are enjoyed by the men, some forms of discriminations against women still prevail in contemporary societies, especially in India. Gender discrimination is widespread not only in educational facilities but also in the workplace and healthcare settings. In terms of education, gender discrimination is well-observed due to disparities in literacy and school enrolment among males and females. As far as the workplace is concerned, women suffer from numerous types of discriminations such as fewer employment opportunities, lower salaries, and sexual harassment at the</w:t>
      </w:r>
      <w:r w:rsidRPr="00044369">
        <w:rPr>
          <w:rFonts w:ascii="Times New Roman" w:hAnsi="Times New Roman" w:cs="Times New Roman"/>
          <w:sz w:val="24"/>
          <w:szCs w:val="24"/>
        </w:rPr>
        <w:t xml:space="preserve"> workplace. </w:t>
      </w:r>
      <w:r w:rsidRPr="00044369">
        <w:rPr>
          <w:rFonts w:ascii="Times New Roman" w:hAnsi="Times New Roman" w:cs="Times New Roman"/>
          <w:sz w:val="24"/>
          <w:szCs w:val="24"/>
        </w:rPr>
        <w:lastRenderedPageBreak/>
        <w:t>Regarding healthcare issues, female patients encounter more maternal deaths due to the inability to afford access to health facilities.</w:t>
      </w:r>
    </w:p>
    <w:p w:rsidR="00044369" w:rsidRPr="00044369" w:rsidRDefault="00044369" w:rsidP="00044369">
      <w:pPr>
        <w:pStyle w:val="NoSpacing"/>
        <w:jc w:val="both"/>
        <w:rPr>
          <w:rFonts w:ascii="Times New Roman" w:hAnsi="Times New Roman" w:cs="Times New Roman"/>
          <w:sz w:val="24"/>
          <w:szCs w:val="24"/>
        </w:rPr>
      </w:pPr>
    </w:p>
    <w:p w:rsidR="00D14760" w:rsidRDefault="00D14760"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It is crucial, however, to address some problems that have not been resolved. First, there are women who do not realize their rights, but especially those women who live in the countryside and underdeveloped regions do not even know what gender inequality is. Secondly, the government departments dealing with gender equality in India, particularly the National Commission for Women, have no financial resources needed to take measures to cope with the mentioned problem. Thirdly, there are different factors hindering women to achieve gender equality, such as social exclusion and the dominance of the male-oriented culture. Nevertheless, the mentioned problem can hardly be solved only by adopting legislative measures. There are many laws protecting women against sexual harassment at work; nevertheless, social prejudices will not allow women to make complaints.</w:t>
      </w:r>
    </w:p>
    <w:p w:rsidR="00044369" w:rsidRPr="00044369" w:rsidRDefault="00044369" w:rsidP="00044369">
      <w:pPr>
        <w:pStyle w:val="NoSpacing"/>
        <w:jc w:val="both"/>
        <w:rPr>
          <w:rFonts w:ascii="Times New Roman" w:hAnsi="Times New Roman" w:cs="Times New Roman"/>
          <w:sz w:val="24"/>
          <w:szCs w:val="24"/>
        </w:rPr>
      </w:pPr>
    </w:p>
    <w:p w:rsidR="00713376" w:rsidRDefault="00713376"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It is therefore critical to have an overall approach that could contribute significantly towards the realization of gender equality in India. The first thing to consider while working on achieving this goal would be to ensure that all laws related to personal and labour are consistent with the requirements of the Constitution. Secondly, a campaign needs to be started to promote gender equality socially. Commissions for women should also be provided adequate powers to do their jobs. Judicial approaches towards interpreting the Constitution are also critical.</w:t>
      </w:r>
    </w:p>
    <w:p w:rsidR="00044369" w:rsidRPr="00044369" w:rsidRDefault="00044369" w:rsidP="00044369">
      <w:pPr>
        <w:pStyle w:val="NoSpacing"/>
        <w:jc w:val="both"/>
        <w:rPr>
          <w:rFonts w:ascii="Times New Roman" w:hAnsi="Times New Roman" w:cs="Times New Roman"/>
          <w:sz w:val="24"/>
          <w:szCs w:val="24"/>
        </w:rPr>
      </w:pPr>
    </w:p>
    <w:p w:rsidR="00AB0078" w:rsidRDefault="00713376"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The Equality of Women in the Indian Constitution is regarded as an ideology that symbolizes revolution in terms of justice and equality. Even though the articles from 14 to 18 in the Indian Constitution provide the foundation for an elaborate statute, the practicality of the scenario indicates how </w:t>
      </w:r>
      <w:r w:rsidRPr="00044369">
        <w:rPr>
          <w:rFonts w:ascii="Times New Roman" w:hAnsi="Times New Roman" w:cs="Times New Roman"/>
          <w:sz w:val="24"/>
          <w:szCs w:val="24"/>
        </w:rPr>
        <w:lastRenderedPageBreak/>
        <w:t>much the ideals deviate from reality after analysing several aspects. Nevertheless, the interpretation of these articles in relation to women, through specific cases, demonstrates the possibility of using the court as an agent of change in society.</w:t>
      </w:r>
    </w:p>
    <w:p w:rsidR="00044369" w:rsidRPr="00044369" w:rsidRDefault="00044369" w:rsidP="00044369">
      <w:pPr>
        <w:pStyle w:val="NoSpacing"/>
        <w:jc w:val="both"/>
        <w:rPr>
          <w:rFonts w:ascii="Times New Roman" w:hAnsi="Times New Roman" w:cs="Times New Roman"/>
          <w:sz w:val="24"/>
          <w:szCs w:val="24"/>
        </w:rPr>
      </w:pPr>
    </w:p>
    <w:p w:rsidR="001A7AD7" w:rsidRDefault="001A7AD7"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An additional example of a document that ensures equal rights for all people living in a certain state is India's Constitution. Among those articles that deal with problems of protecting the rights of women are the following: Article 14, which provides for equality before the law; Article 15, stating that there should be no discrimination based on sex; and Article 16, which grants women the right to work in services equally with men (Basu, 2020). Nevertheless, there are numerous impediments preventing women from enjoying their rights.</w:t>
      </w:r>
    </w:p>
    <w:p w:rsidR="00044369" w:rsidRPr="00044369" w:rsidRDefault="00044369" w:rsidP="00044369">
      <w:pPr>
        <w:pStyle w:val="NoSpacing"/>
        <w:jc w:val="both"/>
        <w:rPr>
          <w:rFonts w:ascii="Times New Roman" w:hAnsi="Times New Roman" w:cs="Times New Roman"/>
          <w:sz w:val="24"/>
          <w:szCs w:val="24"/>
        </w:rPr>
      </w:pPr>
    </w:p>
    <w:p w:rsidR="001A7AD7" w:rsidRPr="00044369" w:rsidRDefault="001A7AD7" w:rsidP="00044369">
      <w:pPr>
        <w:pStyle w:val="NoSpacing"/>
        <w:jc w:val="both"/>
        <w:rPr>
          <w:rFonts w:ascii="Times New Roman" w:hAnsi="Times New Roman" w:cs="Times New Roman"/>
          <w:vanish/>
          <w:sz w:val="24"/>
          <w:szCs w:val="24"/>
        </w:rPr>
      </w:pPr>
      <w:r w:rsidRPr="00044369">
        <w:rPr>
          <w:rFonts w:ascii="Times New Roman" w:hAnsi="Times New Roman" w:cs="Times New Roman"/>
          <w:sz w:val="24"/>
          <w:szCs w:val="24"/>
        </w:rPr>
        <w:t>It is worth noting that many scholars were concerned about investigating the issue in question. Thus, according to Jain (2018), although such instruments as constitutional laws play</w:t>
      </w:r>
      <w:r w:rsidRPr="00456964">
        <w:t xml:space="preserve"> a </w:t>
      </w:r>
      <w:r w:rsidRPr="00044369">
        <w:rPr>
          <w:rFonts w:ascii="Times New Roman" w:hAnsi="Times New Roman" w:cs="Times New Roman"/>
          <w:sz w:val="24"/>
          <w:szCs w:val="24"/>
        </w:rPr>
        <w:t>significant role in the protection of women's rights, social norms can be considered an obstacle in this process. At the same time, according to Sharma (2019), economic dependence, illiteracy, and employment discrimination may be regarded as hindrances to the exercise of rights by women. Finally, court decisions give women the opportunity to enjoy their rights. As observed from the results of the study, in addition to laws that provide for gender equality in India, there are other requirements in addition to those relating to laws of gender equality in the country’s constitution (Rao, 2020). This is because it is understood that laws do not necessarily secure gender equality and instead there must be challenges against gender discrimination.</w:t>
      </w:r>
      <w:r w:rsidRPr="00044369">
        <w:rPr>
          <w:rFonts w:ascii="Times New Roman" w:hAnsi="Times New Roman" w:cs="Times New Roman"/>
          <w:vanish/>
          <w:sz w:val="24"/>
          <w:szCs w:val="24"/>
        </w:rPr>
        <w:t>Top of Form</w:t>
      </w:r>
    </w:p>
    <w:p w:rsidR="001A7AD7" w:rsidRPr="00044369" w:rsidRDefault="001A7AD7" w:rsidP="001A7AD7">
      <w:pPr>
        <w:spacing w:line="360" w:lineRule="auto"/>
        <w:jc w:val="both"/>
        <w:rPr>
          <w:rFonts w:ascii="Times New Roman" w:hAnsi="Times New Roman" w:cs="Times New Roman"/>
          <w:sz w:val="24"/>
          <w:szCs w:val="24"/>
        </w:rPr>
      </w:pPr>
    </w:p>
    <w:p w:rsidR="00713376" w:rsidRDefault="00713376"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The paper will focus on the examination of the constitution and its handling of the gender equality problem in India. There are certain basic rights accorded to all Indians </w:t>
      </w:r>
      <w:r w:rsidRPr="00044369">
        <w:rPr>
          <w:rFonts w:ascii="Times New Roman" w:hAnsi="Times New Roman" w:cs="Times New Roman"/>
          <w:sz w:val="24"/>
          <w:szCs w:val="24"/>
        </w:rPr>
        <w:lastRenderedPageBreak/>
        <w:t>by the constitution. Citizens may make use of their basic rights to guarantee equal treatment for women in society. Articles that can be considered as related to the subject matter will be examined particularly in relation to the extent of the provision regarding protection against discrimination in the legal system, work environment, and society at large. However, the socio-cultural and socio-economic limitations of the right need also to be considered.</w:t>
      </w:r>
    </w:p>
    <w:p w:rsidR="00044369" w:rsidRPr="00044369" w:rsidRDefault="00044369" w:rsidP="00044369">
      <w:pPr>
        <w:pStyle w:val="NoSpacing"/>
        <w:jc w:val="both"/>
        <w:rPr>
          <w:rFonts w:ascii="Times New Roman" w:hAnsi="Times New Roman" w:cs="Times New Roman"/>
          <w:sz w:val="24"/>
          <w:szCs w:val="24"/>
        </w:rPr>
      </w:pPr>
    </w:p>
    <w:p w:rsidR="001D66FB"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2. Constitutional Framework of Equality for Women</w:t>
      </w:r>
    </w:p>
    <w:p w:rsidR="00044369" w:rsidRPr="00044369" w:rsidRDefault="00044369" w:rsidP="00044369">
      <w:pPr>
        <w:pStyle w:val="NoSpacing"/>
        <w:jc w:val="both"/>
        <w:rPr>
          <w:rFonts w:ascii="Times New Roman" w:hAnsi="Times New Roman" w:cs="Times New Roman"/>
          <w:b/>
          <w:bCs/>
          <w:sz w:val="24"/>
          <w:szCs w:val="24"/>
        </w:rPr>
      </w:pPr>
    </w:p>
    <w:p w:rsidR="00044369"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2.1 Article 14: Equality before Law</w:t>
      </w:r>
      <w:r w:rsidR="00403069" w:rsidRPr="00044369">
        <w:rPr>
          <w:rFonts w:ascii="Times New Roman" w:hAnsi="Times New Roman" w:cs="Times New Roman"/>
          <w:b/>
          <w:bCs/>
          <w:sz w:val="24"/>
          <w:szCs w:val="24"/>
        </w:rPr>
        <w:t>and Equal Protection of the Law</w:t>
      </w:r>
    </w:p>
    <w:p w:rsidR="00403069" w:rsidRPr="00044369" w:rsidRDefault="00403069"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As mentioned by article 14 of the constitution, equality before the law and equal protection of the law will be granted to all.</w:t>
      </w:r>
    </w:p>
    <w:p w:rsidR="00403069" w:rsidRPr="00044369" w:rsidRDefault="00403069"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Article 14 consists of two parts, and these are the following:</w:t>
      </w:r>
    </w:p>
    <w:p w:rsidR="00403069" w:rsidRPr="00044369" w:rsidRDefault="00044369" w:rsidP="00044369">
      <w:pPr>
        <w:pStyle w:val="NoSpacing"/>
        <w:jc w:val="both"/>
        <w:rPr>
          <w:rFonts w:ascii="Times New Roman" w:hAnsi="Times New Roman" w:cs="Times New Roman"/>
          <w:sz w:val="24"/>
          <w:szCs w:val="24"/>
        </w:rPr>
      </w:pPr>
      <w:r>
        <w:rPr>
          <w:rFonts w:ascii="Times New Roman" w:hAnsi="Times New Roman" w:cs="Times New Roman"/>
          <w:sz w:val="24"/>
          <w:szCs w:val="24"/>
        </w:rPr>
        <w:t>•</w:t>
      </w:r>
      <w:r w:rsidR="00403069" w:rsidRPr="00044369">
        <w:rPr>
          <w:rFonts w:ascii="Times New Roman" w:hAnsi="Times New Roman" w:cs="Times New Roman"/>
          <w:sz w:val="24"/>
          <w:szCs w:val="24"/>
        </w:rPr>
        <w:t>Equality before the law (Negative aspect)</w:t>
      </w:r>
    </w:p>
    <w:p w:rsidR="00403069" w:rsidRPr="00044369" w:rsidRDefault="00044369" w:rsidP="00044369">
      <w:pPr>
        <w:pStyle w:val="NoSpacing"/>
        <w:jc w:val="both"/>
        <w:rPr>
          <w:rFonts w:ascii="Times New Roman" w:hAnsi="Times New Roman" w:cs="Times New Roman"/>
          <w:sz w:val="24"/>
          <w:szCs w:val="24"/>
        </w:rPr>
      </w:pPr>
      <w:r>
        <w:rPr>
          <w:rFonts w:ascii="Times New Roman" w:hAnsi="Times New Roman" w:cs="Times New Roman"/>
          <w:sz w:val="24"/>
          <w:szCs w:val="24"/>
        </w:rPr>
        <w:t>•</w:t>
      </w:r>
      <w:r w:rsidR="00403069" w:rsidRPr="00044369">
        <w:rPr>
          <w:rFonts w:ascii="Times New Roman" w:hAnsi="Times New Roman" w:cs="Times New Roman"/>
          <w:sz w:val="24"/>
          <w:szCs w:val="24"/>
        </w:rPr>
        <w:t>Equal protection of the law (Positive aspect)</w:t>
      </w:r>
    </w:p>
    <w:p w:rsidR="00403069" w:rsidRDefault="00403069"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Article 14 is a basic right for all females.</w:t>
      </w:r>
    </w:p>
    <w:p w:rsidR="00044369" w:rsidRPr="00044369" w:rsidRDefault="00044369" w:rsidP="00044369">
      <w:pPr>
        <w:pStyle w:val="NoSpacing"/>
        <w:jc w:val="both"/>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2.2 Article 15: Prohibition of Discrimination</w:t>
      </w:r>
    </w:p>
    <w:p w:rsidR="00165500" w:rsidRPr="00044369" w:rsidRDefault="00165500"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Article 15 ensures that there will be no discrimination based on religion, race, caste, sex, or place of birth. It is worth noting that under Article 15(3), it is possible for the state to make provisions for women and children.</w:t>
      </w:r>
    </w:p>
    <w:p w:rsidR="00165500" w:rsidRPr="00044369" w:rsidRDefault="00165500"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These provisions cover:</w:t>
      </w:r>
    </w:p>
    <w:p w:rsidR="00165500" w:rsidRPr="00044369" w:rsidRDefault="00044369" w:rsidP="00044369">
      <w:pPr>
        <w:pStyle w:val="NoSpacing"/>
        <w:jc w:val="both"/>
        <w:rPr>
          <w:rFonts w:ascii="Times New Roman" w:hAnsi="Times New Roman" w:cs="Times New Roman"/>
          <w:sz w:val="24"/>
          <w:szCs w:val="24"/>
        </w:rPr>
      </w:pPr>
      <w:r>
        <w:rPr>
          <w:rFonts w:ascii="Times New Roman" w:hAnsi="Times New Roman" w:cs="Times New Roman"/>
          <w:sz w:val="24"/>
          <w:szCs w:val="24"/>
        </w:rPr>
        <w:t>•</w:t>
      </w:r>
      <w:r w:rsidR="00165500" w:rsidRPr="00044369">
        <w:rPr>
          <w:rFonts w:ascii="Times New Roman" w:hAnsi="Times New Roman" w:cs="Times New Roman"/>
          <w:sz w:val="24"/>
          <w:szCs w:val="24"/>
        </w:rPr>
        <w:t>Motherhood Benefits</w:t>
      </w:r>
    </w:p>
    <w:p w:rsidR="00165500" w:rsidRPr="00044369" w:rsidRDefault="00044369" w:rsidP="00044369">
      <w:pPr>
        <w:pStyle w:val="NoSpacing"/>
        <w:jc w:val="both"/>
        <w:rPr>
          <w:rFonts w:ascii="Times New Roman" w:hAnsi="Times New Roman" w:cs="Times New Roman"/>
          <w:sz w:val="24"/>
          <w:szCs w:val="24"/>
        </w:rPr>
      </w:pPr>
      <w:r>
        <w:rPr>
          <w:rFonts w:ascii="Times New Roman" w:hAnsi="Times New Roman" w:cs="Times New Roman"/>
          <w:sz w:val="24"/>
          <w:szCs w:val="24"/>
        </w:rPr>
        <w:t>•</w:t>
      </w:r>
      <w:r w:rsidR="00165500" w:rsidRPr="00044369">
        <w:rPr>
          <w:rFonts w:ascii="Times New Roman" w:hAnsi="Times New Roman" w:cs="Times New Roman"/>
          <w:sz w:val="24"/>
          <w:szCs w:val="24"/>
        </w:rPr>
        <w:t>Reservations for Women and Children</w:t>
      </w:r>
    </w:p>
    <w:p w:rsidR="00165500" w:rsidRDefault="00044369" w:rsidP="00044369">
      <w:pPr>
        <w:pStyle w:val="NoSpacing"/>
        <w:jc w:val="both"/>
        <w:rPr>
          <w:rFonts w:ascii="Times New Roman" w:hAnsi="Times New Roman" w:cs="Times New Roman"/>
          <w:sz w:val="24"/>
          <w:szCs w:val="24"/>
        </w:rPr>
      </w:pPr>
      <w:r>
        <w:rPr>
          <w:rFonts w:ascii="Times New Roman" w:hAnsi="Times New Roman" w:cs="Times New Roman"/>
          <w:sz w:val="24"/>
          <w:szCs w:val="24"/>
        </w:rPr>
        <w:t>•</w:t>
      </w:r>
      <w:r w:rsidR="00165500" w:rsidRPr="00044369">
        <w:rPr>
          <w:rFonts w:ascii="Times New Roman" w:hAnsi="Times New Roman" w:cs="Times New Roman"/>
          <w:sz w:val="24"/>
          <w:szCs w:val="24"/>
        </w:rPr>
        <w:t>Laws of Protection</w:t>
      </w:r>
    </w:p>
    <w:p w:rsidR="00044369" w:rsidRPr="00044369" w:rsidRDefault="00044369" w:rsidP="00044369">
      <w:pPr>
        <w:pStyle w:val="NoSpacing"/>
        <w:jc w:val="both"/>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2.3 Article 16: Equality of Opportunity in Employment</w:t>
      </w:r>
    </w:p>
    <w:p w:rsidR="00623B19" w:rsidRPr="00044369" w:rsidRDefault="00623B19"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The provisions in article 16 allow equal employment opportunities in government positions, and there is no discrimination based on gender. Classification is also allowed by the provisions of article 16, if women do not lose out on job opportunities.</w:t>
      </w:r>
    </w:p>
    <w:p w:rsidR="00044369" w:rsidRPr="00044369" w:rsidRDefault="00044369" w:rsidP="00044369">
      <w:pPr>
        <w:pStyle w:val="NoSpacing"/>
        <w:jc w:val="both"/>
        <w:rPr>
          <w:rFonts w:ascii="Times New Roman" w:hAnsi="Times New Roman" w:cs="Times New Roman"/>
          <w:sz w:val="24"/>
          <w:szCs w:val="24"/>
        </w:rPr>
      </w:pPr>
    </w:p>
    <w:p w:rsidR="00983868" w:rsidRPr="00044369" w:rsidRDefault="001D66FB" w:rsidP="00044369">
      <w:pPr>
        <w:pStyle w:val="NoSpacing"/>
        <w:rPr>
          <w:rFonts w:ascii="Times New Roman" w:hAnsi="Times New Roman" w:cs="Times New Roman"/>
          <w:b/>
          <w:bCs/>
          <w:sz w:val="24"/>
          <w:szCs w:val="24"/>
        </w:rPr>
      </w:pPr>
      <w:r w:rsidRPr="00044369">
        <w:rPr>
          <w:rFonts w:ascii="Times New Roman" w:hAnsi="Times New Roman" w:cs="Times New Roman"/>
          <w:b/>
          <w:bCs/>
          <w:sz w:val="24"/>
          <w:szCs w:val="24"/>
        </w:rPr>
        <w:lastRenderedPageBreak/>
        <w:t>2.4 Directive Principles of State Policy</w:t>
      </w:r>
      <w:r w:rsidR="00983868" w:rsidRPr="00044369">
        <w:rPr>
          <w:rFonts w:ascii="Times New Roman" w:hAnsi="Times New Roman" w:cs="Times New Roman"/>
          <w:b/>
          <w:bCs/>
          <w:sz w:val="24"/>
          <w:szCs w:val="24"/>
        </w:rPr>
        <w:t xml:space="preserve"> and Fundamental Duties</w:t>
      </w:r>
    </w:p>
    <w:p w:rsidR="00623B19" w:rsidRPr="00044369" w:rsidRDefault="00623B19"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Though not enforceable, some Directive Principles promote gender equality:</w:t>
      </w:r>
    </w:p>
    <w:p w:rsidR="00623B19" w:rsidRPr="00044369" w:rsidRDefault="00623B19"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 Article 39(a): Equality of rights in respect of livelihood</w:t>
      </w:r>
    </w:p>
    <w:p w:rsidR="00623B19" w:rsidRPr="00044369" w:rsidRDefault="00623B19"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 Article 39(d): Equal pay for equal work</w:t>
      </w:r>
    </w:p>
    <w:p w:rsidR="00623B19" w:rsidRPr="00044369" w:rsidRDefault="00623B19"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 Article 42: Maternity relief</w:t>
      </w:r>
    </w:p>
    <w:p w:rsidR="001D66FB" w:rsidRPr="00044369" w:rsidRDefault="001D66FB"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 xml:space="preserve">These provisions guide the State in framing gender-sensitive policies. </w:t>
      </w:r>
    </w:p>
    <w:p w:rsidR="001D66FB" w:rsidRDefault="0021289D"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 xml:space="preserve">Indian citizens owe the responsibility of refraining from such </w:t>
      </w:r>
      <w:r w:rsidR="00174053" w:rsidRPr="00044369">
        <w:rPr>
          <w:rFonts w:ascii="Times New Roman" w:hAnsi="Times New Roman" w:cs="Times New Roman"/>
          <w:sz w:val="24"/>
          <w:szCs w:val="24"/>
        </w:rPr>
        <w:t>behaviour</w:t>
      </w:r>
      <w:r w:rsidRPr="00044369">
        <w:rPr>
          <w:rFonts w:ascii="Times New Roman" w:hAnsi="Times New Roman" w:cs="Times New Roman"/>
          <w:sz w:val="24"/>
          <w:szCs w:val="24"/>
        </w:rPr>
        <w:t xml:space="preserve"> under Article 51A(e).</w:t>
      </w:r>
    </w:p>
    <w:p w:rsidR="00044369" w:rsidRPr="00044369" w:rsidRDefault="00044369" w:rsidP="00044369">
      <w:pPr>
        <w:pStyle w:val="NoSpacing"/>
        <w:rPr>
          <w:rFonts w:ascii="Times New Roman" w:hAnsi="Times New Roman" w:cs="Times New Roman"/>
          <w:sz w:val="24"/>
          <w:szCs w:val="24"/>
        </w:rPr>
      </w:pPr>
    </w:p>
    <w:p w:rsidR="001D66FB" w:rsidRPr="00044369" w:rsidRDefault="001D66FB" w:rsidP="00044369">
      <w:pPr>
        <w:pStyle w:val="NoSpacing"/>
        <w:rPr>
          <w:rFonts w:ascii="Times New Roman" w:hAnsi="Times New Roman" w:cs="Times New Roman"/>
          <w:b/>
          <w:bCs/>
          <w:sz w:val="24"/>
          <w:szCs w:val="24"/>
        </w:rPr>
      </w:pPr>
      <w:r w:rsidRPr="00044369">
        <w:rPr>
          <w:rFonts w:ascii="Times New Roman" w:hAnsi="Times New Roman" w:cs="Times New Roman"/>
          <w:b/>
          <w:bCs/>
          <w:sz w:val="24"/>
          <w:szCs w:val="24"/>
        </w:rPr>
        <w:t>3. Scope of the Right to Equality for Women</w:t>
      </w:r>
    </w:p>
    <w:p w:rsidR="00B5087B" w:rsidRDefault="00B5087B"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The scope of equality for women in India is vast and evolving. Not only does equality extend to formal equality but also substantive equality.</w:t>
      </w:r>
    </w:p>
    <w:p w:rsidR="00044369" w:rsidRPr="00044369" w:rsidRDefault="00044369" w:rsidP="00044369">
      <w:pPr>
        <w:pStyle w:val="NoSpacing"/>
        <w:rPr>
          <w:rFonts w:ascii="Times New Roman" w:hAnsi="Times New Roman" w:cs="Times New Roman"/>
          <w:sz w:val="24"/>
          <w:szCs w:val="24"/>
        </w:rPr>
      </w:pPr>
    </w:p>
    <w:p w:rsidR="001D66FB" w:rsidRPr="00044369" w:rsidRDefault="001D66FB" w:rsidP="00044369">
      <w:pPr>
        <w:pStyle w:val="NoSpacing"/>
        <w:rPr>
          <w:rFonts w:ascii="Times New Roman" w:hAnsi="Times New Roman" w:cs="Times New Roman"/>
          <w:b/>
          <w:bCs/>
          <w:sz w:val="24"/>
          <w:szCs w:val="24"/>
        </w:rPr>
      </w:pPr>
      <w:r w:rsidRPr="00044369">
        <w:rPr>
          <w:rFonts w:ascii="Times New Roman" w:hAnsi="Times New Roman" w:cs="Times New Roman"/>
          <w:b/>
          <w:bCs/>
          <w:sz w:val="24"/>
          <w:szCs w:val="24"/>
        </w:rPr>
        <w:t>3.1 Formal vs Substantive Equality</w:t>
      </w:r>
    </w:p>
    <w:p w:rsidR="001D66FB" w:rsidRDefault="00B5087B" w:rsidP="00044369">
      <w:pPr>
        <w:pStyle w:val="NoSpacing"/>
      </w:pPr>
      <w:r w:rsidRPr="00044369">
        <w:rPr>
          <w:rFonts w:ascii="Times New Roman" w:hAnsi="Times New Roman" w:cs="Times New Roman"/>
          <w:sz w:val="24"/>
          <w:szCs w:val="24"/>
        </w:rPr>
        <w:t>Formal equality is equality of treatment for all people. Substantive equality involves getting rid of structural inequalities. In India’s constitution, equality may lead to discrimination; thus, positive discrimination is legitimate</w:t>
      </w:r>
      <w:r w:rsidRPr="00456964">
        <w:t>.</w:t>
      </w:r>
    </w:p>
    <w:p w:rsidR="00044369" w:rsidRDefault="00044369" w:rsidP="00044369">
      <w:pPr>
        <w:pStyle w:val="NoSpacing"/>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3.2 Protection against Discrimination</w:t>
      </w:r>
    </w:p>
    <w:p w:rsidR="007D215A" w:rsidRDefault="007D215A"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Discrimination against women is prevented in matters of Employment, Education, Public Places, and Legal Safeguards.</w:t>
      </w:r>
    </w:p>
    <w:p w:rsidR="00044369" w:rsidRPr="00044369" w:rsidRDefault="00044369" w:rsidP="00044369">
      <w:pPr>
        <w:pStyle w:val="NoSpacing"/>
        <w:jc w:val="both"/>
        <w:rPr>
          <w:rFonts w:ascii="Times New Roman" w:hAnsi="Times New Roman" w:cs="Times New Roman"/>
          <w:sz w:val="24"/>
          <w:szCs w:val="24"/>
        </w:rPr>
      </w:pPr>
    </w:p>
    <w:p w:rsidR="007D215A" w:rsidRPr="00044369" w:rsidRDefault="007D215A"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3.3 Women’s Right in the Workplace</w:t>
      </w:r>
    </w:p>
    <w:p w:rsidR="001D66FB" w:rsidRDefault="007D215A"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Women, according to the constitution, enjoy Equality of opportunity, Workplace free from harassment, and Favourable work environment.  </w:t>
      </w:r>
      <w:r w:rsidR="001D66FB" w:rsidRPr="00044369">
        <w:rPr>
          <w:rFonts w:ascii="Times New Roman" w:hAnsi="Times New Roman" w:cs="Times New Roman"/>
          <w:sz w:val="24"/>
          <w:szCs w:val="24"/>
        </w:rPr>
        <w:t>Women are protected from discrimination in</w:t>
      </w:r>
      <w:r w:rsidRPr="00044369">
        <w:rPr>
          <w:rFonts w:ascii="Times New Roman" w:hAnsi="Times New Roman" w:cs="Times New Roman"/>
          <w:sz w:val="24"/>
          <w:szCs w:val="24"/>
        </w:rPr>
        <w:t xml:space="preserve"> Employment, Education, </w:t>
      </w:r>
      <w:r w:rsidR="001D66FB" w:rsidRPr="00044369">
        <w:rPr>
          <w:rFonts w:ascii="Times New Roman" w:hAnsi="Times New Roman" w:cs="Times New Roman"/>
          <w:sz w:val="24"/>
          <w:szCs w:val="24"/>
        </w:rPr>
        <w:t xml:space="preserve">Access to public </w:t>
      </w:r>
      <w:r w:rsidRPr="00044369">
        <w:rPr>
          <w:rFonts w:ascii="Times New Roman" w:hAnsi="Times New Roman" w:cs="Times New Roman"/>
          <w:sz w:val="24"/>
          <w:szCs w:val="24"/>
        </w:rPr>
        <w:t>spaces and l</w:t>
      </w:r>
      <w:r w:rsidR="001D66FB" w:rsidRPr="00044369">
        <w:rPr>
          <w:rFonts w:ascii="Times New Roman" w:hAnsi="Times New Roman" w:cs="Times New Roman"/>
          <w:sz w:val="24"/>
          <w:szCs w:val="24"/>
        </w:rPr>
        <w:t xml:space="preserve">egal rights </w:t>
      </w:r>
    </w:p>
    <w:p w:rsidR="00044369" w:rsidRPr="00044369" w:rsidRDefault="00044369" w:rsidP="00044369">
      <w:pPr>
        <w:pStyle w:val="NoSpacing"/>
        <w:jc w:val="both"/>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3.4 Reproductive and Bodily Rights</w:t>
      </w:r>
    </w:p>
    <w:p w:rsidR="007D215A" w:rsidRDefault="007D215A"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Equal opportunities also include rights pertaining to reproduction, protection from sexual exploitation, and right to bodily autonomy.</w:t>
      </w:r>
    </w:p>
    <w:p w:rsidR="00044369" w:rsidRPr="00044369" w:rsidRDefault="00044369" w:rsidP="00044369">
      <w:pPr>
        <w:pStyle w:val="NoSpacing"/>
        <w:jc w:val="both"/>
        <w:rPr>
          <w:rFonts w:ascii="Times New Roman" w:hAnsi="Times New Roman" w:cs="Times New Roman"/>
          <w:sz w:val="24"/>
          <w:szCs w:val="24"/>
        </w:rPr>
      </w:pPr>
    </w:p>
    <w:p w:rsidR="00F4547A" w:rsidRDefault="00F4547A" w:rsidP="00044369">
      <w:pPr>
        <w:pStyle w:val="NoSpacing"/>
        <w:jc w:val="both"/>
        <w:rPr>
          <w:rFonts w:ascii="Times New Roman" w:hAnsi="Times New Roman" w:cs="Times New Roman"/>
          <w:b/>
          <w:bCs/>
          <w:sz w:val="24"/>
          <w:szCs w:val="24"/>
        </w:rPr>
      </w:pPr>
    </w:p>
    <w:p w:rsidR="00F4547A" w:rsidRDefault="00F4547A" w:rsidP="00044369">
      <w:pPr>
        <w:pStyle w:val="NoSpacing"/>
        <w:jc w:val="both"/>
        <w:rPr>
          <w:rFonts w:ascii="Times New Roman" w:hAnsi="Times New Roman" w:cs="Times New Roman"/>
          <w:b/>
          <w:bCs/>
          <w:sz w:val="24"/>
          <w:szCs w:val="24"/>
        </w:rPr>
      </w:pPr>
    </w:p>
    <w:p w:rsidR="007D215A" w:rsidRPr="00044369" w:rsidRDefault="007D215A"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lastRenderedPageBreak/>
        <w:t>3.5 Intersectionality</w:t>
      </w:r>
    </w:p>
    <w:p w:rsidR="007D215A" w:rsidRPr="00044369" w:rsidRDefault="007D215A"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Disadvantaged women face various types of discrimination within society. There is a special article within the Constitution that requires that differential treatment be provided for Scheduled Castes, Scheduled Tribes, and other backward classes.</w:t>
      </w:r>
    </w:p>
    <w:p w:rsidR="001D66FB" w:rsidRPr="00044369" w:rsidRDefault="001D66FB" w:rsidP="00044369">
      <w:pPr>
        <w:pStyle w:val="NoSpacing"/>
        <w:jc w:val="both"/>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4. Judicial Interpretation and Landmark Cases</w:t>
      </w:r>
    </w:p>
    <w:p w:rsidR="001D66FB" w:rsidRDefault="00AD5942"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In India, the importance of the judiciary has been immense in interpreting the constitution in the context of equality between women and men. The Indian judiciary has employed the purposive approach in the interpretation of the provisions of the constitution, thus extending its scope to protect women from any kind of discrimination, whether direct or indirect. As per the judgment delivered by the Supreme Court, discriminating against women at the time of employment based on their marital status is an infringement of Articles 14 and 16 of the constitution. Sexual harassment cases have also been brought forward, which constitute a violation of women’s rights under Articles 14 and 15.</w:t>
      </w:r>
    </w:p>
    <w:p w:rsidR="00044369" w:rsidRPr="00044369" w:rsidRDefault="00044369" w:rsidP="00044369">
      <w:pPr>
        <w:pStyle w:val="NoSpacing"/>
        <w:jc w:val="both"/>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4.1 Vishaka v. State of Rajasthan (1997)</w:t>
      </w:r>
    </w:p>
    <w:p w:rsidR="003A7273" w:rsidRDefault="003A7273"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This was the case in which it was held that sexual harassment at the workplace was a breach of fundamental rights enshrined in Article 14, Article 19, and Article 21 of the Constitution. The guidelines set by Vishaka were the foundations for the Sexual Harassment of Women at Workplace (Prevention, Prohibition and Redressal) Act 2013. This case emphasized that sexual harassment at the workplace was a breach of fundamental rights provided under Article 14, Article 19, and Article 21.</w:t>
      </w:r>
    </w:p>
    <w:p w:rsidR="00044369" w:rsidRPr="00044369" w:rsidRDefault="00044369" w:rsidP="00044369">
      <w:pPr>
        <w:pStyle w:val="NoSpacing"/>
        <w:jc w:val="both"/>
        <w:rPr>
          <w:rFonts w:ascii="Times New Roman" w:hAnsi="Times New Roman" w:cs="Times New Roman"/>
          <w:sz w:val="24"/>
          <w:szCs w:val="24"/>
        </w:rPr>
      </w:pPr>
    </w:p>
    <w:p w:rsidR="001D66FB" w:rsidRPr="00044369" w:rsidRDefault="001D66FB" w:rsidP="00044369">
      <w:pPr>
        <w:pStyle w:val="NoSpacing"/>
        <w:rPr>
          <w:rFonts w:ascii="Times New Roman" w:hAnsi="Times New Roman" w:cs="Times New Roman"/>
          <w:b/>
          <w:bCs/>
          <w:sz w:val="24"/>
          <w:szCs w:val="24"/>
        </w:rPr>
      </w:pPr>
      <w:r w:rsidRPr="00044369">
        <w:rPr>
          <w:rFonts w:ascii="Times New Roman" w:hAnsi="Times New Roman" w:cs="Times New Roman"/>
          <w:b/>
          <w:bCs/>
          <w:sz w:val="24"/>
          <w:szCs w:val="24"/>
        </w:rPr>
        <w:t>4.2 Air India v. Nergesh Meerza (1981)</w:t>
      </w:r>
    </w:p>
    <w:p w:rsidR="00E67A4F" w:rsidRDefault="00E67A4F"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 xml:space="preserve">Discriminatory clauses, including termination from employment in case one becomes pregnant, have been considered violative of the right to equality. Also, discriminatory acts against women at work have been addressed by means of judicial </w:t>
      </w:r>
      <w:r w:rsidRPr="00044369">
        <w:rPr>
          <w:rFonts w:ascii="Times New Roman" w:hAnsi="Times New Roman" w:cs="Times New Roman"/>
          <w:sz w:val="24"/>
          <w:szCs w:val="24"/>
        </w:rPr>
        <w:lastRenderedPageBreak/>
        <w:t>decisions, like the case of Air India v. Nergesh Meerza (1981).</w:t>
      </w:r>
    </w:p>
    <w:p w:rsidR="00044369" w:rsidRPr="00044369" w:rsidRDefault="00044369" w:rsidP="00044369">
      <w:pPr>
        <w:pStyle w:val="NoSpacing"/>
        <w:rPr>
          <w:rFonts w:ascii="Times New Roman" w:hAnsi="Times New Roman" w:cs="Times New Roman"/>
          <w:sz w:val="24"/>
          <w:szCs w:val="24"/>
        </w:rPr>
      </w:pPr>
    </w:p>
    <w:p w:rsidR="00E67A4F" w:rsidRPr="00044369" w:rsidRDefault="00E67A4F" w:rsidP="00044369">
      <w:pPr>
        <w:pStyle w:val="NoSpacing"/>
        <w:rPr>
          <w:rFonts w:ascii="Times New Roman" w:hAnsi="Times New Roman" w:cs="Times New Roman"/>
          <w:b/>
          <w:bCs/>
          <w:sz w:val="24"/>
          <w:szCs w:val="24"/>
        </w:rPr>
      </w:pPr>
      <w:r w:rsidRPr="00044369">
        <w:rPr>
          <w:rFonts w:ascii="Times New Roman" w:hAnsi="Times New Roman" w:cs="Times New Roman"/>
          <w:b/>
          <w:bCs/>
          <w:sz w:val="24"/>
          <w:szCs w:val="24"/>
        </w:rPr>
        <w:t>4.3 Shayara Bano v. Union of India (2017)</w:t>
      </w:r>
    </w:p>
    <w:p w:rsidR="001D66FB" w:rsidRDefault="00E67A4F" w:rsidP="00044369">
      <w:pPr>
        <w:pStyle w:val="NoSpacing"/>
        <w:rPr>
          <w:rFonts w:ascii="Times New Roman" w:hAnsi="Times New Roman" w:cs="Times New Roman"/>
          <w:sz w:val="24"/>
          <w:szCs w:val="24"/>
        </w:rPr>
      </w:pPr>
      <w:r w:rsidRPr="00044369">
        <w:rPr>
          <w:rFonts w:ascii="Times New Roman" w:hAnsi="Times New Roman" w:cs="Times New Roman"/>
          <w:sz w:val="24"/>
          <w:szCs w:val="24"/>
        </w:rPr>
        <w:t>The triple talaq was declared unconstitutional in the Supreme Court of India due to the significance of gender equality and respectability. Similarly, the triple talaq was made unlawful because of Shayara Bano v Union of India, which took place in 2017.</w:t>
      </w:r>
    </w:p>
    <w:p w:rsidR="00044369" w:rsidRDefault="00044369" w:rsidP="00044369">
      <w:pPr>
        <w:pStyle w:val="NoSpacing"/>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4.4 Joseph Shine v. Union of India (2018)</w:t>
      </w:r>
    </w:p>
    <w:p w:rsidR="001D66FB" w:rsidRDefault="00E67A4F"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The section 497 provision of the Indian Penal Code ceased to exist because of the famous case of </w:t>
      </w:r>
      <w:r w:rsidRPr="00044369">
        <w:rPr>
          <w:rFonts w:ascii="Times New Roman" w:hAnsi="Times New Roman" w:cs="Times New Roman"/>
          <w:i/>
          <w:iCs/>
          <w:sz w:val="24"/>
          <w:szCs w:val="24"/>
        </w:rPr>
        <w:t>Joseph Shine v. Union of India</w:t>
      </w:r>
      <w:r w:rsidRPr="00044369">
        <w:rPr>
          <w:rFonts w:ascii="Times New Roman" w:hAnsi="Times New Roman" w:cs="Times New Roman"/>
          <w:sz w:val="24"/>
          <w:szCs w:val="24"/>
        </w:rPr>
        <w:t xml:space="preserve"> (2018). It is because a woman is not regarded as someone's property. Equality, dignity, and autonomy may be said to be some of the most significant matters in the Indian legal system today. </w:t>
      </w:r>
      <w:r w:rsidR="001D66FB" w:rsidRPr="00044369">
        <w:rPr>
          <w:rFonts w:ascii="Times New Roman" w:hAnsi="Times New Roman" w:cs="Times New Roman"/>
          <w:sz w:val="24"/>
          <w:szCs w:val="24"/>
        </w:rPr>
        <w:t>The Court decriminalized adultery, recognizing women as equal partners rather than property of men.</w:t>
      </w:r>
    </w:p>
    <w:p w:rsidR="00044369" w:rsidRPr="00044369" w:rsidRDefault="00044369" w:rsidP="00044369">
      <w:pPr>
        <w:pStyle w:val="NoSpacing"/>
        <w:jc w:val="both"/>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4.5 Navtej Singh Johar v. Union of India (2018)</w:t>
      </w:r>
    </w:p>
    <w:p w:rsidR="001D66FB" w:rsidRDefault="00E67A4F"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In the case of </w:t>
      </w:r>
      <w:r w:rsidRPr="00044369">
        <w:rPr>
          <w:rFonts w:ascii="Times New Roman" w:hAnsi="Times New Roman" w:cs="Times New Roman"/>
          <w:i/>
          <w:iCs/>
          <w:sz w:val="24"/>
          <w:szCs w:val="24"/>
        </w:rPr>
        <w:t>Navtej Singh Johar v. Union of India</w:t>
      </w:r>
      <w:r w:rsidRPr="00044369">
        <w:rPr>
          <w:rFonts w:ascii="Times New Roman" w:hAnsi="Times New Roman" w:cs="Times New Roman"/>
          <w:sz w:val="24"/>
          <w:szCs w:val="24"/>
        </w:rPr>
        <w:t xml:space="preserve"> (2018), laws pertaining to consensual activities among people of the same gender were struck down. The right to equality, liberty, and dignity remains one of the most critical rights in such cases. Consequently, the concept of autonomy was recognized as a legal right.</w:t>
      </w:r>
    </w:p>
    <w:p w:rsidR="00044369" w:rsidRPr="00044369" w:rsidRDefault="00044369" w:rsidP="00044369">
      <w:pPr>
        <w:pStyle w:val="NoSpacing"/>
        <w:jc w:val="both"/>
        <w:rPr>
          <w:rFonts w:ascii="Times New Roman" w:hAnsi="Times New Roman" w:cs="Times New Roman"/>
          <w:sz w:val="24"/>
          <w:szCs w:val="24"/>
        </w:rPr>
      </w:pPr>
    </w:p>
    <w:p w:rsidR="002A543C" w:rsidRPr="00044369" w:rsidRDefault="002A543C"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4.6 S. R. Bommai v. Union of India.</w:t>
      </w:r>
    </w:p>
    <w:p w:rsidR="00D67E30" w:rsidRDefault="00D67E30"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In </w:t>
      </w:r>
      <w:r w:rsidRPr="00044369">
        <w:rPr>
          <w:rFonts w:ascii="Times New Roman" w:hAnsi="Times New Roman" w:cs="Times New Roman"/>
          <w:i/>
          <w:iCs/>
          <w:sz w:val="24"/>
          <w:szCs w:val="24"/>
        </w:rPr>
        <w:t>S. R. Bommai v. Union of India</w:t>
      </w:r>
      <w:r w:rsidRPr="00044369">
        <w:rPr>
          <w:rFonts w:ascii="Times New Roman" w:hAnsi="Times New Roman" w:cs="Times New Roman"/>
          <w:sz w:val="24"/>
          <w:szCs w:val="24"/>
        </w:rPr>
        <w:t>, for example, the Supreme Court has accepted the right of women to belong to religious groups as well, suggesting that gender equality must be respected irrespective of whether it comes from traditions or religion.</w:t>
      </w:r>
    </w:p>
    <w:p w:rsidR="00044369" w:rsidRPr="00044369" w:rsidRDefault="00044369" w:rsidP="00044369">
      <w:pPr>
        <w:pStyle w:val="NoSpacing"/>
        <w:jc w:val="both"/>
        <w:rPr>
          <w:rFonts w:ascii="Times New Roman" w:hAnsi="Times New Roman" w:cs="Times New Roman"/>
          <w:sz w:val="24"/>
          <w:szCs w:val="24"/>
        </w:rPr>
      </w:pPr>
    </w:p>
    <w:p w:rsidR="00A26FB4" w:rsidRPr="00044369" w:rsidRDefault="00A26FB4"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4.7 State of Madras v. Champakam Dorairajan </w:t>
      </w:r>
    </w:p>
    <w:p w:rsidR="00A26FB4" w:rsidRDefault="00A26FB4"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The important decision of the "</w:t>
      </w:r>
      <w:r w:rsidRPr="00044369">
        <w:rPr>
          <w:rFonts w:ascii="Times New Roman" w:hAnsi="Times New Roman" w:cs="Times New Roman"/>
          <w:i/>
          <w:iCs/>
          <w:sz w:val="24"/>
          <w:szCs w:val="24"/>
        </w:rPr>
        <w:t>State of Madras v/s Champakam Dorairajan</w:t>
      </w:r>
      <w:r w:rsidRPr="00044369">
        <w:rPr>
          <w:rFonts w:ascii="Times New Roman" w:hAnsi="Times New Roman" w:cs="Times New Roman"/>
          <w:sz w:val="24"/>
          <w:szCs w:val="24"/>
        </w:rPr>
        <w:t xml:space="preserve">" case, </w:t>
      </w:r>
      <w:r w:rsidRPr="00044369">
        <w:rPr>
          <w:rFonts w:ascii="Times New Roman" w:hAnsi="Times New Roman" w:cs="Times New Roman"/>
          <w:sz w:val="24"/>
          <w:szCs w:val="24"/>
        </w:rPr>
        <w:lastRenderedPageBreak/>
        <w:t>we can say that reservation based on caste is unconstitutional in India. The Indian constitution's article 15 has been violated here. Therefore, it becomes imperative that a constitutional amendment should be made at this stage.</w:t>
      </w:r>
    </w:p>
    <w:p w:rsidR="00044369" w:rsidRPr="00044369" w:rsidRDefault="00044369" w:rsidP="00044369">
      <w:pPr>
        <w:pStyle w:val="NoSpacing"/>
        <w:jc w:val="both"/>
        <w:rPr>
          <w:rFonts w:ascii="Times New Roman" w:hAnsi="Times New Roman" w:cs="Times New Roman"/>
          <w:sz w:val="24"/>
          <w:szCs w:val="24"/>
        </w:rPr>
      </w:pPr>
    </w:p>
    <w:p w:rsidR="00A64E72" w:rsidRPr="00044369" w:rsidRDefault="00A64E72" w:rsidP="00044369">
      <w:pPr>
        <w:pStyle w:val="NoSpacing"/>
        <w:rPr>
          <w:rFonts w:ascii="Times New Roman" w:hAnsi="Times New Roman" w:cs="Times New Roman"/>
          <w:b/>
          <w:bCs/>
          <w:sz w:val="24"/>
          <w:szCs w:val="24"/>
        </w:rPr>
      </w:pPr>
      <w:r w:rsidRPr="00044369">
        <w:rPr>
          <w:rFonts w:ascii="Times New Roman" w:hAnsi="Times New Roman" w:cs="Times New Roman"/>
          <w:b/>
          <w:bCs/>
          <w:sz w:val="24"/>
          <w:szCs w:val="24"/>
        </w:rPr>
        <w:t>4.8 C.B. Muthamma v. Union of India, AIR 1980 SC 592</w:t>
      </w:r>
    </w:p>
    <w:p w:rsidR="00A64E72" w:rsidRDefault="00A64E72"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The service regulations relating to obtaining prior permission for marrying woman officers and dismissal after marriage were held to be unconstitutional in violation of Articles 14 and 16 of the Constitution in so far as they discriminated against the equality of sexes in employment.</w:t>
      </w:r>
    </w:p>
    <w:p w:rsidR="00044369" w:rsidRPr="00044369" w:rsidRDefault="00044369" w:rsidP="00044369">
      <w:pPr>
        <w:pStyle w:val="NoSpacing"/>
        <w:jc w:val="both"/>
        <w:rPr>
          <w:rFonts w:ascii="Times New Roman" w:hAnsi="Times New Roman" w:cs="Times New Roman"/>
          <w:sz w:val="24"/>
          <w:szCs w:val="24"/>
        </w:rPr>
      </w:pPr>
    </w:p>
    <w:p w:rsidR="00B556AC" w:rsidRPr="00044369" w:rsidRDefault="00B556AC"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4.9 Anuj Garg v. Hotel Association of India 200</w:t>
      </w:r>
      <w:r w:rsidR="00257452" w:rsidRPr="00044369">
        <w:rPr>
          <w:rFonts w:ascii="Times New Roman" w:hAnsi="Times New Roman" w:cs="Times New Roman"/>
          <w:b/>
          <w:bCs/>
          <w:sz w:val="24"/>
          <w:szCs w:val="24"/>
        </w:rPr>
        <w:t>8</w:t>
      </w:r>
    </w:p>
    <w:p w:rsidR="00257452" w:rsidRDefault="00257452"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The Supreme Court, in </w:t>
      </w:r>
      <w:r w:rsidRPr="00044369">
        <w:rPr>
          <w:rFonts w:ascii="Times New Roman" w:hAnsi="Times New Roman" w:cs="Times New Roman"/>
          <w:i/>
          <w:iCs/>
          <w:sz w:val="24"/>
          <w:szCs w:val="24"/>
        </w:rPr>
        <w:t>Anuj Garg v. Hotel Association of India</w:t>
      </w:r>
      <w:r w:rsidRPr="00044369">
        <w:rPr>
          <w:rFonts w:ascii="Times New Roman" w:hAnsi="Times New Roman" w:cs="Times New Roman"/>
          <w:sz w:val="24"/>
          <w:szCs w:val="24"/>
        </w:rPr>
        <w:t>, struck down Sections of the Shops and Establishments Acts of various states that prohibited women workers from working at night in hotels and restaurants as arbitrary and discriminatory provisions that violated the fundamental rights guaranteed by Articles 14 and 15 of the Constitution.</w:t>
      </w:r>
    </w:p>
    <w:p w:rsidR="00044369" w:rsidRPr="00044369" w:rsidRDefault="00044369" w:rsidP="00044369">
      <w:pPr>
        <w:pStyle w:val="NoSpacing"/>
        <w:jc w:val="both"/>
        <w:rPr>
          <w:rFonts w:ascii="Times New Roman" w:hAnsi="Times New Roman" w:cs="Times New Roman"/>
          <w:sz w:val="24"/>
          <w:szCs w:val="24"/>
        </w:rPr>
      </w:pPr>
    </w:p>
    <w:p w:rsidR="00134F07" w:rsidRPr="00044369" w:rsidRDefault="00B556AC"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 xml:space="preserve">4.10 </w:t>
      </w:r>
      <w:r w:rsidR="00257452" w:rsidRPr="00044369">
        <w:rPr>
          <w:rFonts w:ascii="Times New Roman" w:hAnsi="Times New Roman" w:cs="Times New Roman"/>
          <w:b/>
          <w:bCs/>
          <w:sz w:val="24"/>
          <w:szCs w:val="24"/>
        </w:rPr>
        <w:t>Mary Roy v. State of Kerala</w:t>
      </w:r>
    </w:p>
    <w:p w:rsidR="00B556AC" w:rsidRDefault="00257452"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The Supreme Court held that the Travancore Christian Succession Act, 1916, which gave inferior inheritance rights to Christian women, stood superseded by the Indian Succession Act, 1925. The Court ruled such discrimination unconstitutional, affirming gender equality under Articles 14 and 15.</w:t>
      </w:r>
    </w:p>
    <w:p w:rsidR="00044369" w:rsidRPr="00044369" w:rsidRDefault="00044369" w:rsidP="00044369">
      <w:pPr>
        <w:pStyle w:val="NoSpacing"/>
        <w:jc w:val="both"/>
        <w:rPr>
          <w:rFonts w:ascii="Times New Roman" w:hAnsi="Times New Roman" w:cs="Times New Roman"/>
          <w:sz w:val="24"/>
          <w:szCs w:val="24"/>
        </w:rPr>
      </w:pPr>
    </w:p>
    <w:p w:rsidR="00257452" w:rsidRPr="00044369" w:rsidRDefault="00257452"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4.11 Employment Division v. Smith (Air India context in India)</w:t>
      </w:r>
    </w:p>
    <w:p w:rsidR="00257452" w:rsidRDefault="00257452"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The important case of Employment Division v. Smith, 494 U.S. 872 (1990), deals with religious freedom, and not gender equality or employment discrimination; hence, it is irrelevant to Article 14 and 16 of the Constitution of India.</w:t>
      </w:r>
    </w:p>
    <w:p w:rsidR="00044369" w:rsidRDefault="00044369" w:rsidP="00044369">
      <w:pPr>
        <w:pStyle w:val="NoSpacing"/>
        <w:jc w:val="both"/>
        <w:rPr>
          <w:rFonts w:ascii="Times New Roman" w:hAnsi="Times New Roman" w:cs="Times New Roman"/>
          <w:sz w:val="24"/>
          <w:szCs w:val="24"/>
        </w:rPr>
      </w:pPr>
    </w:p>
    <w:p w:rsidR="00044369" w:rsidRDefault="00044369" w:rsidP="00044369">
      <w:pPr>
        <w:pStyle w:val="NoSpacing"/>
        <w:jc w:val="both"/>
        <w:rPr>
          <w:rFonts w:ascii="Times New Roman" w:hAnsi="Times New Roman" w:cs="Times New Roman"/>
          <w:sz w:val="24"/>
          <w:szCs w:val="24"/>
        </w:rPr>
      </w:pPr>
    </w:p>
    <w:p w:rsidR="00044369" w:rsidRDefault="00044369" w:rsidP="00044369">
      <w:pPr>
        <w:pStyle w:val="NoSpacing"/>
        <w:jc w:val="both"/>
        <w:rPr>
          <w:rFonts w:ascii="Times New Roman" w:hAnsi="Times New Roman" w:cs="Times New Roman"/>
          <w:sz w:val="24"/>
          <w:szCs w:val="24"/>
        </w:rPr>
      </w:pPr>
    </w:p>
    <w:p w:rsidR="00044369" w:rsidRDefault="00044369" w:rsidP="00044369">
      <w:pPr>
        <w:pStyle w:val="NoSpacing"/>
        <w:jc w:val="both"/>
        <w:rPr>
          <w:rFonts w:ascii="Times New Roman" w:hAnsi="Times New Roman" w:cs="Times New Roman"/>
          <w:sz w:val="24"/>
          <w:szCs w:val="24"/>
        </w:rPr>
      </w:pPr>
    </w:p>
    <w:p w:rsidR="00044369" w:rsidRPr="00044369" w:rsidRDefault="00044369" w:rsidP="00044369">
      <w:pPr>
        <w:pStyle w:val="NoSpacing"/>
        <w:jc w:val="both"/>
        <w:rPr>
          <w:rFonts w:ascii="Times New Roman" w:hAnsi="Times New Roman" w:cs="Times New Roman"/>
          <w:sz w:val="24"/>
          <w:szCs w:val="24"/>
        </w:rPr>
      </w:pPr>
    </w:p>
    <w:p w:rsidR="00D67E30" w:rsidRPr="00044369" w:rsidRDefault="00044369" w:rsidP="00044369">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4.12 </w:t>
      </w:r>
      <w:r w:rsidR="00D67E30" w:rsidRPr="00044369">
        <w:rPr>
          <w:rFonts w:ascii="Times New Roman" w:hAnsi="Times New Roman" w:cs="Times New Roman"/>
          <w:b/>
          <w:bCs/>
          <w:sz w:val="24"/>
          <w:szCs w:val="24"/>
        </w:rPr>
        <w:t>Recent Judicial Rulings on Equality</w:t>
      </w:r>
    </w:p>
    <w:p w:rsidR="00D67E30" w:rsidRPr="00044369" w:rsidRDefault="00D67E30"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Several recent rulings of the judiciary also support the principle of equality: The above-mentioned rulings clearly demonstrate that the Indian judiciary is devoted to ensuring equality between sexes. It is through its interpretation of the constitution that constitutional morality wins over social morality when it comes to enforcing equality. Hence, it becomes clear how judicial activism has helped realize the constitutional promise of gender equality in society.</w:t>
      </w:r>
    </w:p>
    <w:p w:rsidR="00D14760" w:rsidRPr="00044369" w:rsidRDefault="00D14760" w:rsidP="00044369">
      <w:pPr>
        <w:pStyle w:val="NoSpacing"/>
        <w:jc w:val="both"/>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5. Challenges in Realizing Equality for Women</w:t>
      </w:r>
    </w:p>
    <w:p w:rsidR="001D66FB" w:rsidRDefault="001D66FB"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Despite strong constitutional provisions, multiple challenges persist.</w:t>
      </w:r>
    </w:p>
    <w:p w:rsidR="00044369" w:rsidRPr="00044369" w:rsidRDefault="00044369" w:rsidP="00044369">
      <w:pPr>
        <w:pStyle w:val="NoSpacing"/>
        <w:jc w:val="both"/>
        <w:rPr>
          <w:rFonts w:ascii="Times New Roman" w:hAnsi="Times New Roman" w:cs="Times New Roman"/>
          <w:sz w:val="24"/>
          <w:szCs w:val="24"/>
        </w:rPr>
      </w:pPr>
    </w:p>
    <w:p w:rsidR="001D66FB" w:rsidRPr="00044369" w:rsidRDefault="001D66FB" w:rsidP="00044369">
      <w:pPr>
        <w:pStyle w:val="NoSpacing"/>
        <w:rPr>
          <w:rFonts w:ascii="Times New Roman" w:hAnsi="Times New Roman" w:cs="Times New Roman"/>
          <w:b/>
          <w:bCs/>
          <w:sz w:val="24"/>
          <w:szCs w:val="24"/>
        </w:rPr>
      </w:pPr>
      <w:r w:rsidRPr="00044369">
        <w:rPr>
          <w:rFonts w:ascii="Times New Roman" w:hAnsi="Times New Roman" w:cs="Times New Roman"/>
          <w:b/>
          <w:bCs/>
          <w:sz w:val="24"/>
          <w:szCs w:val="24"/>
        </w:rPr>
        <w:t>5.1 Societal and Cultural Barriers</w:t>
      </w:r>
    </w:p>
    <w:p w:rsidR="001D66FB" w:rsidRDefault="00F36B24"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 xml:space="preserve">Some of the constraints imposed on the women by the patriarchal society include constraints based on culture and society. These constraints include the constraints imposed on them in terms of movement, where to go, the type of work that they may perform, and </w:t>
      </w:r>
      <w:r w:rsidR="00E73EE3" w:rsidRPr="00044369">
        <w:rPr>
          <w:rFonts w:ascii="Times New Roman" w:hAnsi="Times New Roman" w:cs="Times New Roman"/>
          <w:sz w:val="24"/>
          <w:szCs w:val="24"/>
        </w:rPr>
        <w:t>behaviour</w:t>
      </w:r>
      <w:r w:rsidRPr="00044369">
        <w:rPr>
          <w:rFonts w:ascii="Times New Roman" w:hAnsi="Times New Roman" w:cs="Times New Roman"/>
          <w:sz w:val="24"/>
          <w:szCs w:val="24"/>
        </w:rPr>
        <w:t>. In addition to this, their education has also been constrained in such a way that education of the sons is preferred by the parents over their daughters. This leads to constraint in terms of professional and social life.</w:t>
      </w:r>
    </w:p>
    <w:p w:rsidR="00044369" w:rsidRPr="00044369" w:rsidRDefault="00044369" w:rsidP="00044369">
      <w:pPr>
        <w:pStyle w:val="NoSpacing"/>
        <w:jc w:val="both"/>
        <w:rPr>
          <w:rFonts w:ascii="Times New Roman" w:hAnsi="Times New Roman" w:cs="Times New Roman"/>
          <w:sz w:val="24"/>
          <w:szCs w:val="24"/>
        </w:rPr>
      </w:pPr>
    </w:p>
    <w:p w:rsidR="001D66FB" w:rsidRPr="00044369" w:rsidRDefault="001D66FB" w:rsidP="00044369">
      <w:pPr>
        <w:pStyle w:val="NoSpacing"/>
        <w:jc w:val="both"/>
        <w:rPr>
          <w:rFonts w:ascii="Times New Roman" w:hAnsi="Times New Roman" w:cs="Times New Roman"/>
          <w:b/>
          <w:bCs/>
          <w:sz w:val="24"/>
          <w:szCs w:val="24"/>
        </w:rPr>
      </w:pPr>
      <w:r w:rsidRPr="00044369">
        <w:rPr>
          <w:rFonts w:ascii="Times New Roman" w:hAnsi="Times New Roman" w:cs="Times New Roman"/>
          <w:b/>
          <w:bCs/>
          <w:sz w:val="24"/>
          <w:szCs w:val="24"/>
        </w:rPr>
        <w:t>5.2 Economic Inequality</w:t>
      </w:r>
    </w:p>
    <w:p w:rsidR="001D66FB" w:rsidRDefault="00645F84"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Economic inequalities have persisted till today depending on the geographical location that the woman is from. The problem of economic inequalities has been such that it has left women with less earnings compared to men who do the same jobs as they, thereby hindering economic empowerment among women. Economic investment has not been given to women hence they cannot do business.</w:t>
      </w:r>
    </w:p>
    <w:p w:rsidR="00044369" w:rsidRPr="00044369" w:rsidRDefault="00044369" w:rsidP="00044369">
      <w:pPr>
        <w:pStyle w:val="NoSpacing"/>
        <w:jc w:val="both"/>
        <w:rPr>
          <w:rFonts w:ascii="Times New Roman" w:hAnsi="Times New Roman" w:cs="Times New Roman"/>
          <w:sz w:val="24"/>
          <w:szCs w:val="24"/>
        </w:rPr>
      </w:pPr>
    </w:p>
    <w:p w:rsidR="00904C20" w:rsidRDefault="00904C20" w:rsidP="00044369">
      <w:pPr>
        <w:pStyle w:val="NoSpacing"/>
        <w:jc w:val="both"/>
        <w:rPr>
          <w:rFonts w:ascii="Times New Roman" w:hAnsi="Times New Roman" w:cs="Times New Roman"/>
          <w:b/>
          <w:bCs/>
          <w:sz w:val="24"/>
          <w:szCs w:val="24"/>
        </w:rPr>
      </w:pPr>
    </w:p>
    <w:p w:rsidR="00C16352" w:rsidRPr="00044369" w:rsidRDefault="00044369" w:rsidP="00044369">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5.3 </w:t>
      </w:r>
      <w:r w:rsidR="001D66FB" w:rsidRPr="00044369">
        <w:rPr>
          <w:rFonts w:ascii="Times New Roman" w:hAnsi="Times New Roman" w:cs="Times New Roman"/>
          <w:b/>
          <w:bCs/>
          <w:sz w:val="24"/>
          <w:szCs w:val="24"/>
        </w:rPr>
        <w:t>Legal and Institutional Gaps</w:t>
      </w:r>
    </w:p>
    <w:p w:rsidR="001D66FB" w:rsidRDefault="00C16352" w:rsidP="00044369">
      <w:pPr>
        <w:pStyle w:val="NoSpacing"/>
        <w:jc w:val="both"/>
        <w:rPr>
          <w:rFonts w:ascii="Times New Roman" w:hAnsi="Times New Roman" w:cs="Times New Roman"/>
          <w:sz w:val="24"/>
          <w:szCs w:val="24"/>
        </w:rPr>
      </w:pPr>
      <w:r w:rsidRPr="00044369">
        <w:rPr>
          <w:rFonts w:ascii="Times New Roman" w:hAnsi="Times New Roman" w:cs="Times New Roman"/>
          <w:sz w:val="24"/>
          <w:szCs w:val="24"/>
        </w:rPr>
        <w:t>The laws and systems are not effective in protecting women's rights. The inability to implement these laws indicates that there are some good laws that can protect women, but the lack of proper implementation renders them useless. The ignorance of women about laws and their importance in the protection of women is a barrier to claiming their rights through the laws. The time factor associated with the legal system is another hindrance in availing the legal system.</w:t>
      </w:r>
    </w:p>
    <w:p w:rsidR="00044369" w:rsidRPr="00044369" w:rsidRDefault="00044369" w:rsidP="00044369">
      <w:pPr>
        <w:pStyle w:val="NoSpacing"/>
        <w:jc w:val="both"/>
        <w:rPr>
          <w:rFonts w:ascii="Times New Roman" w:hAnsi="Times New Roman" w:cs="Times New Roman"/>
          <w:sz w:val="24"/>
          <w:szCs w:val="24"/>
        </w:rPr>
      </w:pPr>
    </w:p>
    <w:p w:rsidR="001D66FB" w:rsidRPr="00DD206B" w:rsidRDefault="001D66FB" w:rsidP="00DD206B">
      <w:pPr>
        <w:pStyle w:val="NoSpacing"/>
        <w:jc w:val="both"/>
        <w:rPr>
          <w:rFonts w:ascii="Times New Roman" w:hAnsi="Times New Roman" w:cs="Times New Roman"/>
          <w:b/>
          <w:bCs/>
          <w:sz w:val="24"/>
          <w:szCs w:val="24"/>
        </w:rPr>
      </w:pPr>
      <w:r w:rsidRPr="00DD206B">
        <w:rPr>
          <w:rFonts w:ascii="Times New Roman" w:hAnsi="Times New Roman" w:cs="Times New Roman"/>
          <w:b/>
          <w:bCs/>
          <w:sz w:val="24"/>
          <w:szCs w:val="24"/>
        </w:rPr>
        <w:t>5.4 Violence against Women</w:t>
      </w:r>
    </w:p>
    <w:p w:rsidR="00C16352" w:rsidRDefault="00C16352"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Domestic violence is among the main forms of violence that affect the security and empowerment of women. In the first place, domestic violence is one form of violence that confines women to abusive relationships that have no way out. Secondly, sexual harassment, either at home or at workplaces, is a violation of the rights of women and deprives them of chances to develop professionally. Finally, trafficking represents a form of violence that takes advantage of the vulnerability of women to work as prostitutes.</w:t>
      </w:r>
    </w:p>
    <w:p w:rsidR="00DD206B" w:rsidRPr="00DD206B" w:rsidRDefault="00DD206B" w:rsidP="00DD206B">
      <w:pPr>
        <w:pStyle w:val="NoSpacing"/>
        <w:jc w:val="both"/>
        <w:rPr>
          <w:rFonts w:ascii="Times New Roman" w:hAnsi="Times New Roman" w:cs="Times New Roman"/>
          <w:sz w:val="24"/>
          <w:szCs w:val="24"/>
        </w:rPr>
      </w:pPr>
    </w:p>
    <w:p w:rsidR="001D66FB" w:rsidRPr="00DD206B" w:rsidRDefault="001D66FB" w:rsidP="00DD206B">
      <w:pPr>
        <w:pStyle w:val="NoSpacing"/>
        <w:jc w:val="both"/>
        <w:rPr>
          <w:rFonts w:ascii="Times New Roman" w:hAnsi="Times New Roman" w:cs="Times New Roman"/>
          <w:b/>
          <w:bCs/>
          <w:sz w:val="24"/>
          <w:szCs w:val="24"/>
        </w:rPr>
      </w:pPr>
      <w:r w:rsidRPr="00DD206B">
        <w:rPr>
          <w:rFonts w:ascii="Times New Roman" w:hAnsi="Times New Roman" w:cs="Times New Roman"/>
          <w:b/>
          <w:bCs/>
          <w:sz w:val="24"/>
          <w:szCs w:val="24"/>
        </w:rPr>
        <w:t>5.5 Intersectional Discrimination</w:t>
      </w:r>
    </w:p>
    <w:p w:rsidR="0093649F" w:rsidRDefault="00C16352"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The next challenge that these women experience due to being from the oppressed class is the one of intersectional discrimination. Apart from the gender-based oppression, the caste-based discrimination faced by these women makes it hard for them to acquire education and get employed. In turn, they are unable to develop the skills to earn money, which means that financial issues become yet another problem for them to address. Thus, oppression and discrimination make it even harder for an oppressed woman than a sexist oppressed woman.</w:t>
      </w:r>
    </w:p>
    <w:p w:rsidR="00DD206B" w:rsidRPr="00DD206B" w:rsidRDefault="00DD206B" w:rsidP="00DD206B">
      <w:pPr>
        <w:pStyle w:val="NoSpacing"/>
        <w:jc w:val="both"/>
        <w:rPr>
          <w:rFonts w:ascii="Times New Roman" w:hAnsi="Times New Roman" w:cs="Times New Roman"/>
          <w:sz w:val="24"/>
          <w:szCs w:val="24"/>
        </w:rPr>
      </w:pPr>
    </w:p>
    <w:p w:rsidR="001D66FB" w:rsidRPr="00DD206B" w:rsidRDefault="001D66FB" w:rsidP="00DD206B">
      <w:pPr>
        <w:pStyle w:val="NoSpacing"/>
        <w:jc w:val="both"/>
        <w:rPr>
          <w:rFonts w:ascii="Times New Roman" w:hAnsi="Times New Roman" w:cs="Times New Roman"/>
          <w:b/>
          <w:bCs/>
          <w:sz w:val="24"/>
          <w:szCs w:val="24"/>
        </w:rPr>
      </w:pPr>
      <w:r w:rsidRPr="00DD206B">
        <w:rPr>
          <w:rFonts w:ascii="Times New Roman" w:hAnsi="Times New Roman" w:cs="Times New Roman"/>
          <w:b/>
          <w:bCs/>
          <w:sz w:val="24"/>
          <w:szCs w:val="24"/>
        </w:rPr>
        <w:t>5.6 Misuse vs Underuse of Laws</w:t>
      </w:r>
    </w:p>
    <w:p w:rsidR="001D66FB" w:rsidRPr="00DD206B" w:rsidRDefault="00545FC8"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 xml:space="preserve">Although violation of laws of protection is the most common offense committed against such laws, the issue remains that of law violation. Most women are unwilling to </w:t>
      </w:r>
      <w:r w:rsidRPr="00DD206B">
        <w:rPr>
          <w:rFonts w:ascii="Times New Roman" w:hAnsi="Times New Roman" w:cs="Times New Roman"/>
          <w:sz w:val="24"/>
          <w:szCs w:val="24"/>
        </w:rPr>
        <w:lastRenderedPageBreak/>
        <w:t>report their offenders for fear of ridicule or physical abuse, especially when the offender happens to be within a family setup. This is so because women who have been harassed often fail to make any complaint for fear of the law.</w:t>
      </w:r>
    </w:p>
    <w:p w:rsidR="001D66FB" w:rsidRPr="00DD206B" w:rsidRDefault="001D66FB" w:rsidP="00DD206B">
      <w:pPr>
        <w:pStyle w:val="NoSpacing"/>
        <w:jc w:val="both"/>
        <w:rPr>
          <w:rFonts w:ascii="Times New Roman" w:hAnsi="Times New Roman" w:cs="Times New Roman"/>
          <w:sz w:val="24"/>
          <w:szCs w:val="24"/>
        </w:rPr>
      </w:pPr>
    </w:p>
    <w:p w:rsidR="001D66FB" w:rsidRPr="00DD206B" w:rsidRDefault="009C3102" w:rsidP="00DD206B">
      <w:pPr>
        <w:pStyle w:val="NoSpacing"/>
        <w:jc w:val="both"/>
        <w:rPr>
          <w:rFonts w:ascii="Times New Roman" w:hAnsi="Times New Roman" w:cs="Times New Roman"/>
          <w:b/>
          <w:bCs/>
          <w:sz w:val="24"/>
          <w:szCs w:val="24"/>
        </w:rPr>
      </w:pPr>
      <w:r w:rsidRPr="00DD206B">
        <w:rPr>
          <w:rFonts w:ascii="Times New Roman" w:hAnsi="Times New Roman" w:cs="Times New Roman"/>
          <w:b/>
          <w:bCs/>
          <w:sz w:val="24"/>
          <w:szCs w:val="24"/>
        </w:rPr>
        <w:t>6</w:t>
      </w:r>
      <w:r w:rsidR="001D66FB" w:rsidRPr="00DD206B">
        <w:rPr>
          <w:rFonts w:ascii="Times New Roman" w:hAnsi="Times New Roman" w:cs="Times New Roman"/>
          <w:b/>
          <w:bCs/>
          <w:sz w:val="24"/>
          <w:szCs w:val="24"/>
        </w:rPr>
        <w:t>. Comparative Perspective</w:t>
      </w:r>
    </w:p>
    <w:p w:rsidR="009C3102" w:rsidRDefault="009C3102"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In contrast, the case regarding India, especially when it comes to the rights of women, is relatively complicated when compared to other nations. For example, in the case of India, the Indian Constitution gives the women certain rights, while also ensuring them equality without any form of discrimination whatsoever. Some examples include Article 15 that does not allow discrimination against women, and Article 21 that ensures the women their rights to live and be free. There are numerous instances in India that reflect the advancements in the matter of women’s rights owing to some landmark decisions made by the courts.</w:t>
      </w:r>
    </w:p>
    <w:p w:rsidR="00DD206B" w:rsidRPr="00DD206B" w:rsidRDefault="00DD206B" w:rsidP="00DD206B">
      <w:pPr>
        <w:pStyle w:val="NoSpacing"/>
        <w:jc w:val="both"/>
        <w:rPr>
          <w:rFonts w:ascii="Times New Roman" w:hAnsi="Times New Roman" w:cs="Times New Roman"/>
          <w:sz w:val="24"/>
          <w:szCs w:val="24"/>
        </w:rPr>
      </w:pPr>
    </w:p>
    <w:p w:rsidR="009C3102" w:rsidRPr="00DD206B" w:rsidRDefault="009C3102"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However, what appears to be the real issue that arises with the topic under discussion is the question of the proper implementation of the law rather than whether there even exists such a law at all. This is especially true considering the number of instances where there may arise issues regarding the implementation of the law because of the corrupt nature of both the bureaucracy and society. In relation to the issue presented by the current topic, this issue can be clearly seen in terms of the indifference displayed by society with regards to women's rights.</w:t>
      </w:r>
    </w:p>
    <w:p w:rsidR="0093649F" w:rsidRDefault="0093649F" w:rsidP="00DD206B">
      <w:pPr>
        <w:pStyle w:val="NoSpacing"/>
        <w:jc w:val="both"/>
        <w:rPr>
          <w:rFonts w:ascii="Times New Roman" w:hAnsi="Times New Roman" w:cs="Times New Roman"/>
          <w:b/>
          <w:bCs/>
          <w:sz w:val="24"/>
          <w:szCs w:val="24"/>
        </w:rPr>
      </w:pPr>
    </w:p>
    <w:p w:rsidR="001D66FB" w:rsidRPr="00DD206B" w:rsidRDefault="009C3102" w:rsidP="00DD206B">
      <w:pPr>
        <w:pStyle w:val="NoSpacing"/>
        <w:jc w:val="both"/>
        <w:rPr>
          <w:rFonts w:ascii="Times New Roman" w:hAnsi="Times New Roman" w:cs="Times New Roman"/>
          <w:b/>
          <w:bCs/>
          <w:sz w:val="24"/>
          <w:szCs w:val="24"/>
        </w:rPr>
      </w:pPr>
      <w:r w:rsidRPr="00DD206B">
        <w:rPr>
          <w:rFonts w:ascii="Times New Roman" w:hAnsi="Times New Roman" w:cs="Times New Roman"/>
          <w:b/>
          <w:bCs/>
          <w:sz w:val="24"/>
          <w:szCs w:val="24"/>
        </w:rPr>
        <w:t>7</w:t>
      </w:r>
      <w:r w:rsidR="001D66FB" w:rsidRPr="00DD206B">
        <w:rPr>
          <w:rFonts w:ascii="Times New Roman" w:hAnsi="Times New Roman" w:cs="Times New Roman"/>
          <w:b/>
          <w:bCs/>
          <w:sz w:val="24"/>
          <w:szCs w:val="24"/>
        </w:rPr>
        <w:t>. Recommendations</w:t>
      </w:r>
    </w:p>
    <w:p w:rsidR="00E549F3" w:rsidRPr="00DD206B" w:rsidRDefault="00E549F3"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Gender equality: Some Important Strategies</w:t>
      </w:r>
    </w:p>
    <w:p w:rsidR="00E549F3" w:rsidRPr="00DD206B" w:rsidRDefault="00E549F3"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The need arises for proper enforcement of laws.</w:t>
      </w:r>
    </w:p>
    <w:p w:rsidR="00E549F3" w:rsidRPr="00DD206B" w:rsidRDefault="00E549F3"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The process of implementing plays an extremely important role in extracting the best out of laws.</w:t>
      </w:r>
    </w:p>
    <w:p w:rsidR="00E549F3" w:rsidRPr="00DD206B" w:rsidRDefault="00E549F3"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Women must be informed about the laws available in their Favor.</w:t>
      </w:r>
    </w:p>
    <w:p w:rsidR="00E549F3" w:rsidRPr="00DD206B" w:rsidRDefault="00E549F3"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It is necessary to conduct training programs to acquaint women with their rights.</w:t>
      </w:r>
    </w:p>
    <w:p w:rsidR="00E549F3" w:rsidRPr="00DD206B" w:rsidRDefault="00E549F3"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lastRenderedPageBreak/>
        <w:t>It is also necessary to sensitize people to change the attitude towards women prevailing in society.</w:t>
      </w:r>
    </w:p>
    <w:p w:rsidR="00E549F3" w:rsidRDefault="00E549F3"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It is also necessary to empower women economically because only through this way can they participate in society.</w:t>
      </w:r>
    </w:p>
    <w:p w:rsidR="00DD206B" w:rsidRPr="00DD206B" w:rsidRDefault="00DD206B" w:rsidP="00DD206B">
      <w:pPr>
        <w:pStyle w:val="NoSpacing"/>
        <w:jc w:val="both"/>
        <w:rPr>
          <w:rFonts w:ascii="Times New Roman" w:hAnsi="Times New Roman" w:cs="Times New Roman"/>
          <w:sz w:val="24"/>
          <w:szCs w:val="24"/>
        </w:rPr>
      </w:pPr>
    </w:p>
    <w:p w:rsidR="001D66FB" w:rsidRPr="00DD206B" w:rsidRDefault="009C3102" w:rsidP="00DD206B">
      <w:pPr>
        <w:pStyle w:val="NoSpacing"/>
        <w:jc w:val="both"/>
        <w:rPr>
          <w:rFonts w:ascii="Times New Roman" w:hAnsi="Times New Roman" w:cs="Times New Roman"/>
          <w:b/>
          <w:bCs/>
          <w:sz w:val="24"/>
          <w:szCs w:val="24"/>
        </w:rPr>
      </w:pPr>
      <w:r w:rsidRPr="00DD206B">
        <w:rPr>
          <w:rFonts w:ascii="Times New Roman" w:hAnsi="Times New Roman" w:cs="Times New Roman"/>
          <w:b/>
          <w:bCs/>
          <w:sz w:val="24"/>
          <w:szCs w:val="24"/>
        </w:rPr>
        <w:t>8</w:t>
      </w:r>
      <w:r w:rsidR="001D66FB" w:rsidRPr="00DD206B">
        <w:rPr>
          <w:rFonts w:ascii="Times New Roman" w:hAnsi="Times New Roman" w:cs="Times New Roman"/>
          <w:b/>
          <w:bCs/>
          <w:sz w:val="24"/>
          <w:szCs w:val="24"/>
        </w:rPr>
        <w:t>. Conclusion</w:t>
      </w:r>
    </w:p>
    <w:p w:rsidR="000C0C60" w:rsidRPr="00DD206B" w:rsidRDefault="000C0C60"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 xml:space="preserve">The rights of women in India are ensured with the help of the Constitution of India itself. This includes some articles of the constitution such as Article 14, 15, and 16. These articles give equality before the law, non-discrimination based on the gender of the individual, and equal opportunities for the women to get employed. The equality among women has also been achieved by some legal and social measures which have included reservations for self-government of the women, prevention of violence against women, prohibition of dowry, prevention of sexual harassment, etc. Even after all these steps taken to ensure equality among women, this equality </w:t>
      </w:r>
      <w:r w:rsidR="003F19E3" w:rsidRPr="00DD206B">
        <w:rPr>
          <w:rFonts w:ascii="Times New Roman" w:hAnsi="Times New Roman" w:cs="Times New Roman"/>
          <w:sz w:val="24"/>
          <w:szCs w:val="24"/>
        </w:rPr>
        <w:t>remains</w:t>
      </w:r>
      <w:r w:rsidRPr="00DD206B">
        <w:rPr>
          <w:rFonts w:ascii="Times New Roman" w:hAnsi="Times New Roman" w:cs="Times New Roman"/>
          <w:sz w:val="24"/>
          <w:szCs w:val="24"/>
        </w:rPr>
        <w:t xml:space="preserve"> an illusion due to several reasons such as patriarchy, illiteracy, and poverty.</w:t>
      </w:r>
    </w:p>
    <w:p w:rsidR="000C0C60" w:rsidRPr="00DD206B" w:rsidRDefault="000C0C60" w:rsidP="00DD206B">
      <w:pPr>
        <w:pStyle w:val="NoSpacing"/>
        <w:jc w:val="both"/>
        <w:rPr>
          <w:rFonts w:ascii="Times New Roman" w:hAnsi="Times New Roman" w:cs="Times New Roman"/>
          <w:sz w:val="24"/>
          <w:szCs w:val="24"/>
        </w:rPr>
      </w:pPr>
    </w:p>
    <w:p w:rsidR="001D66FB" w:rsidRPr="005F4B02" w:rsidRDefault="001D66FB" w:rsidP="00DD206B">
      <w:pPr>
        <w:pStyle w:val="NoSpacing"/>
        <w:jc w:val="both"/>
        <w:rPr>
          <w:rFonts w:ascii="Times New Roman" w:hAnsi="Times New Roman" w:cs="Times New Roman"/>
          <w:b/>
          <w:bCs/>
          <w:i/>
          <w:iCs/>
          <w:sz w:val="24"/>
          <w:szCs w:val="24"/>
          <w:u w:val="single"/>
        </w:rPr>
      </w:pPr>
      <w:r w:rsidRPr="005F4B02">
        <w:rPr>
          <w:rFonts w:ascii="Times New Roman" w:hAnsi="Times New Roman" w:cs="Times New Roman"/>
          <w:b/>
          <w:bCs/>
          <w:i/>
          <w:iCs/>
          <w:sz w:val="24"/>
          <w:szCs w:val="24"/>
          <w:u w:val="single"/>
        </w:rPr>
        <w:t>References</w:t>
      </w:r>
    </w:p>
    <w:p w:rsidR="00733DC9" w:rsidRPr="00DD206B" w:rsidRDefault="00EC6511"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Air India v. Nergesh Meerza</w:t>
      </w:r>
      <w:r w:rsidRPr="00DD206B">
        <w:rPr>
          <w:rFonts w:ascii="Times New Roman" w:hAnsi="Times New Roman" w:cs="Times New Roman"/>
          <w:sz w:val="24"/>
          <w:szCs w:val="24"/>
        </w:rPr>
        <w:t xml:space="preserve">, (1981) 4 SCC 335 </w:t>
      </w:r>
    </w:p>
    <w:p w:rsidR="00257452" w:rsidRPr="00DD206B" w:rsidRDefault="00733DC9"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Anuj Garg v. Hotel Association of India</w:t>
      </w:r>
      <w:r w:rsidRPr="00DD206B">
        <w:rPr>
          <w:rFonts w:ascii="Times New Roman" w:hAnsi="Times New Roman" w:cs="Times New Roman"/>
          <w:sz w:val="24"/>
          <w:szCs w:val="24"/>
        </w:rPr>
        <w:t>, (2008) 3 SCC 1</w:t>
      </w:r>
    </w:p>
    <w:p w:rsidR="001A7AD7" w:rsidRPr="00DD206B" w:rsidRDefault="001A7AD7"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lastRenderedPageBreak/>
        <w:t xml:space="preserve">Basu, D. D. (2020). </w:t>
      </w:r>
      <w:r w:rsidRPr="00DD206B">
        <w:rPr>
          <w:rFonts w:ascii="Times New Roman" w:hAnsi="Times New Roman" w:cs="Times New Roman"/>
          <w:i/>
          <w:iCs/>
          <w:sz w:val="24"/>
          <w:szCs w:val="24"/>
        </w:rPr>
        <w:t>Introduction to the Constitution of India</w:t>
      </w:r>
      <w:r w:rsidRPr="00DD206B">
        <w:rPr>
          <w:rFonts w:ascii="Times New Roman" w:hAnsi="Times New Roman" w:cs="Times New Roman"/>
          <w:sz w:val="24"/>
          <w:szCs w:val="24"/>
        </w:rPr>
        <w:t xml:space="preserve"> (23rd ed.). LexisNexis. </w:t>
      </w:r>
    </w:p>
    <w:p w:rsidR="00B556AC" w:rsidRPr="00DD206B" w:rsidRDefault="00B556AC"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C.B. Muthamma v. Union of India, AIR 1980 SC 592</w:t>
      </w:r>
    </w:p>
    <w:p w:rsidR="001D66FB" w:rsidRPr="00DD206B" w:rsidRDefault="001D66FB"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 xml:space="preserve">Indian Constitution (Articles 14–16) </w:t>
      </w:r>
    </w:p>
    <w:p w:rsidR="001A7AD7" w:rsidRPr="00DD206B" w:rsidRDefault="001A7AD7"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 xml:space="preserve">Jain, M. (2018). Gender Justice and Constitutional Equality. </w:t>
      </w:r>
      <w:r w:rsidRPr="00DD206B">
        <w:rPr>
          <w:rFonts w:ascii="Times New Roman" w:hAnsi="Times New Roman" w:cs="Times New Roman"/>
          <w:i/>
          <w:iCs/>
          <w:sz w:val="24"/>
          <w:szCs w:val="24"/>
        </w:rPr>
        <w:t>Indian Journal of Constitutional Law</w:t>
      </w:r>
      <w:r w:rsidRPr="00DD206B">
        <w:rPr>
          <w:rFonts w:ascii="Times New Roman" w:hAnsi="Times New Roman" w:cs="Times New Roman"/>
          <w:sz w:val="24"/>
          <w:szCs w:val="24"/>
        </w:rPr>
        <w:t xml:space="preserve">, 12(1), 45–62. </w:t>
      </w:r>
    </w:p>
    <w:p w:rsidR="00EC6511" w:rsidRPr="00DD206B" w:rsidRDefault="00EC6511"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Joseph Shine v. Union of India</w:t>
      </w:r>
      <w:r w:rsidRPr="00DD206B">
        <w:rPr>
          <w:rFonts w:ascii="Times New Roman" w:hAnsi="Times New Roman" w:cs="Times New Roman"/>
          <w:sz w:val="24"/>
          <w:szCs w:val="24"/>
        </w:rPr>
        <w:t xml:space="preserve">, (2018) 2 SCC 189 </w:t>
      </w:r>
    </w:p>
    <w:p w:rsidR="001A7AD7" w:rsidRPr="00DD206B" w:rsidRDefault="001A7AD7"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 xml:space="preserve">Kapur, N. (2021). Judicial Activism and Women’s Rights in India. </w:t>
      </w:r>
      <w:r w:rsidRPr="00DD206B">
        <w:rPr>
          <w:rFonts w:ascii="Times New Roman" w:hAnsi="Times New Roman" w:cs="Times New Roman"/>
          <w:i/>
          <w:iCs/>
          <w:sz w:val="24"/>
          <w:szCs w:val="24"/>
        </w:rPr>
        <w:t>Economic and Political Weekly</w:t>
      </w:r>
      <w:r w:rsidRPr="00DD206B">
        <w:rPr>
          <w:rFonts w:ascii="Times New Roman" w:hAnsi="Times New Roman" w:cs="Times New Roman"/>
          <w:sz w:val="24"/>
          <w:szCs w:val="24"/>
        </w:rPr>
        <w:t xml:space="preserve">, 56(9), 32–40. </w:t>
      </w:r>
    </w:p>
    <w:p w:rsidR="00257452" w:rsidRPr="00DD206B" w:rsidRDefault="00257452"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Mary Roy v. State of Kerala</w:t>
      </w:r>
      <w:r w:rsidRPr="00DD206B">
        <w:rPr>
          <w:rFonts w:ascii="Times New Roman" w:hAnsi="Times New Roman" w:cs="Times New Roman"/>
          <w:sz w:val="24"/>
          <w:szCs w:val="24"/>
        </w:rPr>
        <w:t>, (1986) 2 SCC 209</w:t>
      </w:r>
    </w:p>
    <w:p w:rsidR="00EC6511" w:rsidRPr="00DD206B" w:rsidRDefault="00EC6511"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Navtej Singh Johar v. Union of India,</w:t>
      </w:r>
      <w:r w:rsidRPr="00DD206B">
        <w:rPr>
          <w:rFonts w:ascii="Times New Roman" w:hAnsi="Times New Roman" w:cs="Times New Roman"/>
          <w:sz w:val="24"/>
          <w:szCs w:val="24"/>
        </w:rPr>
        <w:t xml:space="preserve"> (2018) 10 SCC 1 </w:t>
      </w:r>
    </w:p>
    <w:p w:rsidR="001A7AD7" w:rsidRPr="00DD206B" w:rsidRDefault="001A7AD7"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 xml:space="preserve">Rao, S. (2020). Constitutional Rights of Women: Scope and Limitations. </w:t>
      </w:r>
      <w:r w:rsidRPr="00DD206B">
        <w:rPr>
          <w:rFonts w:ascii="Times New Roman" w:hAnsi="Times New Roman" w:cs="Times New Roman"/>
          <w:i/>
          <w:iCs/>
          <w:sz w:val="24"/>
          <w:szCs w:val="24"/>
        </w:rPr>
        <w:t>Indian Law Review</w:t>
      </w:r>
      <w:r w:rsidRPr="00DD206B">
        <w:rPr>
          <w:rFonts w:ascii="Times New Roman" w:hAnsi="Times New Roman" w:cs="Times New Roman"/>
          <w:sz w:val="24"/>
          <w:szCs w:val="24"/>
        </w:rPr>
        <w:t xml:space="preserve">, 14(3), 15–28. </w:t>
      </w:r>
    </w:p>
    <w:p w:rsidR="001A7AD7" w:rsidRPr="00DD206B" w:rsidRDefault="001A7AD7" w:rsidP="00DD206B">
      <w:pPr>
        <w:pStyle w:val="NoSpacing"/>
        <w:jc w:val="both"/>
        <w:rPr>
          <w:rFonts w:ascii="Times New Roman" w:hAnsi="Times New Roman" w:cs="Times New Roman"/>
          <w:sz w:val="24"/>
          <w:szCs w:val="24"/>
        </w:rPr>
      </w:pPr>
      <w:r w:rsidRPr="00DD206B">
        <w:rPr>
          <w:rFonts w:ascii="Times New Roman" w:hAnsi="Times New Roman" w:cs="Times New Roman"/>
          <w:sz w:val="24"/>
          <w:szCs w:val="24"/>
        </w:rPr>
        <w:t xml:space="preserve">Sharma, R. (2019). Women and the Right to Equality in India: Challenges Ahead. </w:t>
      </w:r>
      <w:r w:rsidRPr="00DD206B">
        <w:rPr>
          <w:rFonts w:ascii="Times New Roman" w:hAnsi="Times New Roman" w:cs="Times New Roman"/>
          <w:i/>
          <w:iCs/>
          <w:sz w:val="24"/>
          <w:szCs w:val="24"/>
        </w:rPr>
        <w:t>Journal of Indian Law and Society</w:t>
      </w:r>
      <w:r w:rsidRPr="00DD206B">
        <w:rPr>
          <w:rFonts w:ascii="Times New Roman" w:hAnsi="Times New Roman" w:cs="Times New Roman"/>
          <w:sz w:val="24"/>
          <w:szCs w:val="24"/>
        </w:rPr>
        <w:t xml:space="preserve">, 10(2), 85–102. </w:t>
      </w:r>
    </w:p>
    <w:p w:rsidR="00EC6511" w:rsidRPr="00DD206B" w:rsidRDefault="00EC6511"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S. R. Bommai v. Union of India</w:t>
      </w:r>
      <w:r w:rsidRPr="00DD206B">
        <w:rPr>
          <w:rFonts w:ascii="Times New Roman" w:hAnsi="Times New Roman" w:cs="Times New Roman"/>
          <w:sz w:val="24"/>
          <w:szCs w:val="24"/>
        </w:rPr>
        <w:t xml:space="preserve">, (1994) 3 SCC 1 </w:t>
      </w:r>
    </w:p>
    <w:p w:rsidR="00EC6511" w:rsidRPr="00DD206B" w:rsidRDefault="00EC6511"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Shayara Bano v. Union of India</w:t>
      </w:r>
      <w:r w:rsidRPr="00DD206B">
        <w:rPr>
          <w:rFonts w:ascii="Times New Roman" w:hAnsi="Times New Roman" w:cs="Times New Roman"/>
          <w:sz w:val="24"/>
          <w:szCs w:val="24"/>
        </w:rPr>
        <w:t xml:space="preserve">, (2017) 9 SCC 1 </w:t>
      </w:r>
    </w:p>
    <w:p w:rsidR="00EC6511" w:rsidRPr="00DD206B" w:rsidRDefault="00EC6511"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State of Madras v. Champakam Dorairajan</w:t>
      </w:r>
      <w:r w:rsidRPr="00DD206B">
        <w:rPr>
          <w:rFonts w:ascii="Times New Roman" w:hAnsi="Times New Roman" w:cs="Times New Roman"/>
          <w:sz w:val="24"/>
          <w:szCs w:val="24"/>
        </w:rPr>
        <w:t>, AIR 1951 SC 226</w:t>
      </w:r>
    </w:p>
    <w:p w:rsidR="00257452" w:rsidRPr="00DD206B" w:rsidRDefault="00F13CA4" w:rsidP="00DD206B">
      <w:pPr>
        <w:pStyle w:val="NoSpacing"/>
        <w:jc w:val="both"/>
        <w:rPr>
          <w:rFonts w:ascii="Times New Roman" w:hAnsi="Times New Roman" w:cs="Times New Roman"/>
          <w:sz w:val="24"/>
          <w:szCs w:val="24"/>
        </w:rPr>
      </w:pPr>
      <w:r w:rsidRPr="00DD206B">
        <w:rPr>
          <w:rFonts w:ascii="Times New Roman" w:hAnsi="Times New Roman" w:cs="Times New Roman"/>
          <w:i/>
          <w:iCs/>
          <w:sz w:val="24"/>
          <w:szCs w:val="24"/>
        </w:rPr>
        <w:t>Vishaka v. State of Rajasthan</w:t>
      </w:r>
      <w:r w:rsidRPr="00DD206B">
        <w:rPr>
          <w:rFonts w:ascii="Times New Roman" w:hAnsi="Times New Roman" w:cs="Times New Roman"/>
          <w:sz w:val="24"/>
          <w:szCs w:val="24"/>
        </w:rPr>
        <w:t xml:space="preserve">, (1997) 6 SCC 241 </w:t>
      </w:r>
    </w:p>
    <w:p w:rsidR="00717153" w:rsidRDefault="00717153" w:rsidP="00AC2D11">
      <w:pPr>
        <w:spacing w:line="360" w:lineRule="auto"/>
        <w:rPr>
          <w:rFonts w:ascii="Times New Roman" w:hAnsi="Times New Roman" w:cs="Times New Roman"/>
          <w:sz w:val="24"/>
          <w:szCs w:val="24"/>
        </w:rPr>
        <w:sectPr w:rsidR="00717153" w:rsidSect="00717153">
          <w:headerReference w:type="default" r:id="rId7"/>
          <w:footerReference w:type="default" r:id="rId8"/>
          <w:type w:val="continuous"/>
          <w:pgSz w:w="11906" w:h="16838"/>
          <w:pgMar w:top="1440" w:right="1274" w:bottom="1440" w:left="1440" w:header="708" w:footer="708" w:gutter="0"/>
          <w:cols w:num="2" w:space="708"/>
          <w:docGrid w:linePitch="360"/>
        </w:sectPr>
      </w:pPr>
    </w:p>
    <w:p w:rsidR="00A64E72" w:rsidRPr="00456964" w:rsidRDefault="00A64E72" w:rsidP="00AC2D11">
      <w:pPr>
        <w:spacing w:line="360" w:lineRule="auto"/>
        <w:rPr>
          <w:rFonts w:ascii="Times New Roman" w:hAnsi="Times New Roman" w:cs="Times New Roman"/>
          <w:sz w:val="24"/>
          <w:szCs w:val="24"/>
        </w:rPr>
      </w:pPr>
    </w:p>
    <w:p w:rsidR="001A7AD7" w:rsidRPr="00456964" w:rsidRDefault="001A7AD7" w:rsidP="001A7AD7">
      <w:pPr>
        <w:spacing w:line="360" w:lineRule="auto"/>
        <w:rPr>
          <w:rFonts w:ascii="Times New Roman" w:hAnsi="Times New Roman" w:cs="Times New Roman"/>
          <w:vanish/>
          <w:sz w:val="24"/>
          <w:szCs w:val="24"/>
        </w:rPr>
      </w:pPr>
      <w:r w:rsidRPr="00456964">
        <w:rPr>
          <w:rFonts w:ascii="Times New Roman" w:hAnsi="Times New Roman" w:cs="Times New Roman"/>
          <w:vanish/>
          <w:sz w:val="24"/>
          <w:szCs w:val="24"/>
        </w:rPr>
        <w:t>Bottom of Form</w:t>
      </w:r>
    </w:p>
    <w:p w:rsidR="00B556AC" w:rsidRPr="00456964" w:rsidRDefault="00B556AC" w:rsidP="00652A0D">
      <w:pPr>
        <w:spacing w:line="360" w:lineRule="auto"/>
        <w:rPr>
          <w:rFonts w:ascii="Times New Roman" w:hAnsi="Times New Roman" w:cs="Times New Roman"/>
          <w:sz w:val="24"/>
          <w:szCs w:val="24"/>
        </w:rPr>
      </w:pPr>
    </w:p>
    <w:sectPr w:rsidR="00B556AC" w:rsidRPr="00456964" w:rsidSect="00717153">
      <w:type w:val="continuous"/>
      <w:pgSz w:w="11906" w:h="16838"/>
      <w:pgMar w:top="1440" w:right="1274"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264" w:rsidRDefault="00890264" w:rsidP="00E92C04">
      <w:pPr>
        <w:spacing w:after="0" w:line="240" w:lineRule="auto"/>
      </w:pPr>
      <w:r>
        <w:separator/>
      </w:r>
    </w:p>
  </w:endnote>
  <w:endnote w:type="continuationSeparator" w:id="1">
    <w:p w:rsidR="00890264" w:rsidRDefault="00890264" w:rsidP="00E92C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363" w:rsidRDefault="00972363">
    <w:pPr>
      <w:pStyle w:val="Footer"/>
      <w:pBdr>
        <w:top w:val="thinThickSmallGap" w:sz="24" w:space="1" w:color="823B0B" w:themeColor="accent2" w:themeShade="7F"/>
      </w:pBdr>
      <w:rPr>
        <w:rFonts w:asciiTheme="majorHAnsi" w:hAnsiTheme="majorHAnsi"/>
      </w:rPr>
    </w:pPr>
    <w:r>
      <w:rPr>
        <w:rFonts w:asciiTheme="majorHAnsi" w:hAnsiTheme="majorHAnsi"/>
      </w:rPr>
      <w:t>IJLR</w:t>
    </w:r>
    <w:r>
      <w:rPr>
        <w:rFonts w:asciiTheme="majorHAnsi" w:hAnsiTheme="majorHAnsi"/>
      </w:rPr>
      <w:ptab w:relativeTo="margin" w:alignment="right" w:leader="none"/>
    </w:r>
    <w:r>
      <w:rPr>
        <w:rFonts w:asciiTheme="majorHAnsi" w:hAnsiTheme="majorHAnsi"/>
      </w:rPr>
      <w:t xml:space="preserve">Page </w:t>
    </w:r>
    <w:fldSimple w:instr=" PAGE   \* MERGEFORMAT ">
      <w:r w:rsidR="00F4547A" w:rsidRPr="00F4547A">
        <w:rPr>
          <w:rFonts w:asciiTheme="majorHAnsi" w:hAnsiTheme="majorHAnsi"/>
          <w:noProof/>
        </w:rPr>
        <w:t>4</w:t>
      </w:r>
    </w:fldSimple>
  </w:p>
  <w:p w:rsidR="00972363" w:rsidRDefault="009723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264" w:rsidRDefault="00890264" w:rsidP="00E92C04">
      <w:pPr>
        <w:spacing w:after="0" w:line="240" w:lineRule="auto"/>
      </w:pPr>
      <w:r>
        <w:separator/>
      </w:r>
    </w:p>
  </w:footnote>
  <w:footnote w:type="continuationSeparator" w:id="1">
    <w:p w:rsidR="00890264" w:rsidRDefault="00890264" w:rsidP="00E92C04">
      <w:pPr>
        <w:spacing w:after="0" w:line="240" w:lineRule="auto"/>
      </w:pPr>
      <w:r>
        <w:continuationSeparator/>
      </w:r>
    </w:p>
  </w:footnote>
  <w:footnote w:id="2">
    <w:p w:rsidR="00717153" w:rsidRPr="00DA2DCB" w:rsidRDefault="00717153" w:rsidP="00717153">
      <w:pPr>
        <w:pStyle w:val="NoSpacing"/>
        <w:rPr>
          <w:rFonts w:ascii="Times New Roman" w:hAnsi="Times New Roman" w:cs="Times New Roman"/>
          <w:sz w:val="20"/>
          <w:szCs w:val="20"/>
        </w:rPr>
      </w:pPr>
      <w:r>
        <w:rPr>
          <w:rStyle w:val="FootnoteReference"/>
        </w:rPr>
        <w:footnoteRef/>
      </w:r>
      <w:r>
        <w:t xml:space="preserve"> </w:t>
      </w:r>
      <w:r>
        <w:rPr>
          <w:rStyle w:val="FootnoteReference"/>
        </w:rPr>
        <w:footnoteRef/>
      </w:r>
      <w:r>
        <w:t xml:space="preserve"> </w:t>
      </w:r>
      <w:r w:rsidRPr="00DA2DCB">
        <w:rPr>
          <w:rFonts w:ascii="Times New Roman" w:hAnsi="Times New Roman" w:cs="Times New Roman"/>
          <w:sz w:val="20"/>
          <w:szCs w:val="20"/>
        </w:rPr>
        <w:t>Advocate, Paramarsh Vidhi Karyalay, Shanti Kunj Lane no 2, Ramnagar, Nainital  Uttarakhand</w:t>
      </w:r>
    </w:p>
    <w:p w:rsidR="00717153" w:rsidRPr="00DA2DCB" w:rsidRDefault="00717153" w:rsidP="00717153">
      <w:pPr>
        <w:pStyle w:val="NoSpacing"/>
        <w:rPr>
          <w:rFonts w:ascii="Times New Roman" w:hAnsi="Times New Roman" w:cs="Times New Roman"/>
          <w:color w:val="000000"/>
          <w:sz w:val="20"/>
          <w:szCs w:val="20"/>
          <w:shd w:val="clear" w:color="auto" w:fill="FFFFFF"/>
        </w:rPr>
      </w:pPr>
      <w:r w:rsidRPr="00DA2DCB">
        <w:rPr>
          <w:rFonts w:ascii="Times New Roman" w:hAnsi="Times New Roman" w:cs="Times New Roman"/>
          <w:sz w:val="20"/>
          <w:szCs w:val="20"/>
        </w:rPr>
        <w:t xml:space="preserve">   </w:t>
      </w:r>
      <w:hyperlink r:id="rId1" w:history="1">
        <w:r w:rsidRPr="00DA2DCB">
          <w:rPr>
            <w:rStyle w:val="Hyperlink"/>
            <w:rFonts w:ascii="Times New Roman" w:hAnsi="Times New Roman" w:cs="Times New Roman"/>
            <w:sz w:val="20"/>
            <w:szCs w:val="20"/>
            <w:shd w:val="clear" w:color="auto" w:fill="FFFFFF"/>
          </w:rPr>
          <w:t>advocatepooranpande@gmail.com</w:t>
        </w:r>
      </w:hyperlink>
      <w:r w:rsidRPr="00DA2DCB">
        <w:rPr>
          <w:rFonts w:ascii="Times New Roman" w:hAnsi="Times New Roman" w:cs="Times New Roman"/>
          <w:sz w:val="20"/>
          <w:szCs w:val="20"/>
        </w:rPr>
        <w:t>,</w:t>
      </w:r>
      <w:r w:rsidRPr="00DA2DCB">
        <w:rPr>
          <w:rFonts w:ascii="Times New Roman" w:hAnsi="Times New Roman" w:cs="Times New Roman"/>
          <w:color w:val="000000" w:themeColor="text1"/>
          <w:sz w:val="20"/>
          <w:szCs w:val="20"/>
          <w:shd w:val="clear" w:color="auto" w:fill="FFFFFF"/>
        </w:rPr>
        <w:t xml:space="preserve"> 9412927919,7017059785</w:t>
      </w:r>
    </w:p>
    <w:p w:rsidR="00717153" w:rsidRPr="00717153" w:rsidRDefault="00717153">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sz w:val="24"/>
        <w:szCs w:val="24"/>
      </w:rPr>
      <w:alias w:val="Title"/>
      <w:id w:val="107876155"/>
      <w:placeholder>
        <w:docPart w:val="0A6163A8647B46C5BDE362893E1B99B9"/>
      </w:placeholder>
      <w:dataBinding w:prefixMappings="xmlns:ns0='http://schemas.openxmlformats.org/package/2006/metadata/core-properties' xmlns:ns1='http://purl.org/dc/elements/1.1/'" w:xpath="/ns0:coreProperties[1]/ns1:title[1]" w:storeItemID="{6C3C8BC8-F283-45AE-878A-BAB7291924A1}"/>
      <w:text/>
    </w:sdtPr>
    <w:sdtContent>
      <w:p w:rsidR="00972363" w:rsidRDefault="00972363">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sidRPr="00375A3F">
          <w:rPr>
            <w:rFonts w:ascii="Times New Roman" w:eastAsiaTheme="majorEastAsia" w:hAnsi="Times New Roman" w:cs="Times New Roman"/>
            <w:sz w:val="24"/>
            <w:szCs w:val="24"/>
          </w:rPr>
          <w:t xml:space="preserve">ISSN….XXXX                                                                                       Vol. Issue. </w:t>
        </w:r>
      </w:p>
    </w:sdtContent>
  </w:sdt>
  <w:p w:rsidR="00972363" w:rsidRDefault="009723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28" style="width:0;height:1.5pt" o:hralign="center" o:bullet="t" o:hrstd="t" o:hr="t" fillcolor="#a0a0a0" stroked="f"/>
    </w:pict>
  </w:numPicBullet>
  <w:abstractNum w:abstractNumId="0">
    <w:nsid w:val="00607FB1"/>
    <w:multiLevelType w:val="multilevel"/>
    <w:tmpl w:val="01465D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81CDE"/>
    <w:multiLevelType w:val="multilevel"/>
    <w:tmpl w:val="2A1244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6C7FB4"/>
    <w:multiLevelType w:val="multilevel"/>
    <w:tmpl w:val="0580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D6055"/>
    <w:multiLevelType w:val="multilevel"/>
    <w:tmpl w:val="D6B6B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F46768"/>
    <w:multiLevelType w:val="multilevel"/>
    <w:tmpl w:val="AD40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DA3557"/>
    <w:multiLevelType w:val="multilevel"/>
    <w:tmpl w:val="1786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FC110B"/>
    <w:multiLevelType w:val="multilevel"/>
    <w:tmpl w:val="308C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EF58AC"/>
    <w:multiLevelType w:val="multilevel"/>
    <w:tmpl w:val="12EE76F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3D02E8"/>
    <w:multiLevelType w:val="multilevel"/>
    <w:tmpl w:val="6D4C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3D4736"/>
    <w:multiLevelType w:val="multilevel"/>
    <w:tmpl w:val="67A6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9228EB"/>
    <w:multiLevelType w:val="multilevel"/>
    <w:tmpl w:val="E028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8E27E4"/>
    <w:multiLevelType w:val="multilevel"/>
    <w:tmpl w:val="004C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724202"/>
    <w:multiLevelType w:val="multilevel"/>
    <w:tmpl w:val="2088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B24B92"/>
    <w:multiLevelType w:val="multilevel"/>
    <w:tmpl w:val="BA4A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C964A0"/>
    <w:multiLevelType w:val="multilevel"/>
    <w:tmpl w:val="4B661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071BC2"/>
    <w:multiLevelType w:val="multilevel"/>
    <w:tmpl w:val="17B8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356545"/>
    <w:multiLevelType w:val="multilevel"/>
    <w:tmpl w:val="A51A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3D0A3F"/>
    <w:multiLevelType w:val="multilevel"/>
    <w:tmpl w:val="95F2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CF2412"/>
    <w:multiLevelType w:val="multilevel"/>
    <w:tmpl w:val="1DE8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D20E21"/>
    <w:multiLevelType w:val="multilevel"/>
    <w:tmpl w:val="64D0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FF3E01"/>
    <w:multiLevelType w:val="multilevel"/>
    <w:tmpl w:val="EBBE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EA325E"/>
    <w:multiLevelType w:val="multilevel"/>
    <w:tmpl w:val="DCD0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0A00DA"/>
    <w:multiLevelType w:val="hybridMultilevel"/>
    <w:tmpl w:val="2A36AE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8516B4F"/>
    <w:multiLevelType w:val="multilevel"/>
    <w:tmpl w:val="232A4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2C3110"/>
    <w:multiLevelType w:val="multilevel"/>
    <w:tmpl w:val="C146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CB6A2C"/>
    <w:multiLevelType w:val="multilevel"/>
    <w:tmpl w:val="D45A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EE4BD4"/>
    <w:multiLevelType w:val="multilevel"/>
    <w:tmpl w:val="7AAA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2A5763"/>
    <w:multiLevelType w:val="multilevel"/>
    <w:tmpl w:val="7596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CD53F7"/>
    <w:multiLevelType w:val="multilevel"/>
    <w:tmpl w:val="CE78792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15D3B2F"/>
    <w:multiLevelType w:val="multilevel"/>
    <w:tmpl w:val="57E0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296CFC"/>
    <w:multiLevelType w:val="multilevel"/>
    <w:tmpl w:val="7DC8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B24FF1"/>
    <w:multiLevelType w:val="multilevel"/>
    <w:tmpl w:val="34D2D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8CA24B8"/>
    <w:multiLevelType w:val="multilevel"/>
    <w:tmpl w:val="AAAAD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DDD4C93"/>
    <w:multiLevelType w:val="hybridMultilevel"/>
    <w:tmpl w:val="B2A4BD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1"/>
  </w:num>
  <w:num w:numId="2">
    <w:abstractNumId w:val="1"/>
  </w:num>
  <w:num w:numId="3">
    <w:abstractNumId w:val="0"/>
  </w:num>
  <w:num w:numId="4">
    <w:abstractNumId w:val="7"/>
  </w:num>
  <w:num w:numId="5">
    <w:abstractNumId w:val="8"/>
  </w:num>
  <w:num w:numId="6">
    <w:abstractNumId w:val="25"/>
  </w:num>
  <w:num w:numId="7">
    <w:abstractNumId w:val="14"/>
  </w:num>
  <w:num w:numId="8">
    <w:abstractNumId w:val="26"/>
  </w:num>
  <w:num w:numId="9">
    <w:abstractNumId w:val="10"/>
  </w:num>
  <w:num w:numId="10">
    <w:abstractNumId w:val="5"/>
  </w:num>
  <w:num w:numId="11">
    <w:abstractNumId w:val="9"/>
  </w:num>
  <w:num w:numId="12">
    <w:abstractNumId w:val="12"/>
  </w:num>
  <w:num w:numId="13">
    <w:abstractNumId w:val="30"/>
  </w:num>
  <w:num w:numId="14">
    <w:abstractNumId w:val="15"/>
  </w:num>
  <w:num w:numId="15">
    <w:abstractNumId w:val="20"/>
  </w:num>
  <w:num w:numId="16">
    <w:abstractNumId w:val="19"/>
  </w:num>
  <w:num w:numId="17">
    <w:abstractNumId w:val="4"/>
  </w:num>
  <w:num w:numId="18">
    <w:abstractNumId w:val="29"/>
  </w:num>
  <w:num w:numId="19">
    <w:abstractNumId w:val="13"/>
  </w:num>
  <w:num w:numId="20">
    <w:abstractNumId w:val="24"/>
  </w:num>
  <w:num w:numId="21">
    <w:abstractNumId w:val="18"/>
  </w:num>
  <w:num w:numId="22">
    <w:abstractNumId w:val="2"/>
  </w:num>
  <w:num w:numId="23">
    <w:abstractNumId w:val="17"/>
  </w:num>
  <w:num w:numId="24">
    <w:abstractNumId w:val="27"/>
  </w:num>
  <w:num w:numId="25">
    <w:abstractNumId w:val="16"/>
  </w:num>
  <w:num w:numId="26">
    <w:abstractNumId w:val="21"/>
  </w:num>
  <w:num w:numId="27">
    <w:abstractNumId w:val="11"/>
  </w:num>
  <w:num w:numId="28">
    <w:abstractNumId w:val="6"/>
  </w:num>
  <w:num w:numId="29">
    <w:abstractNumId w:val="23"/>
  </w:num>
  <w:num w:numId="30">
    <w:abstractNumId w:val="28"/>
  </w:num>
  <w:num w:numId="31">
    <w:abstractNumId w:val="22"/>
  </w:num>
  <w:num w:numId="32">
    <w:abstractNumId w:val="32"/>
  </w:num>
  <w:num w:numId="33">
    <w:abstractNumId w:val="3"/>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DD38F8"/>
    <w:rsid w:val="00044369"/>
    <w:rsid w:val="000A2F90"/>
    <w:rsid w:val="000C0C60"/>
    <w:rsid w:val="00134F07"/>
    <w:rsid w:val="00143603"/>
    <w:rsid w:val="00165500"/>
    <w:rsid w:val="00174053"/>
    <w:rsid w:val="001A7AD7"/>
    <w:rsid w:val="001D27CF"/>
    <w:rsid w:val="001D66FB"/>
    <w:rsid w:val="0021289D"/>
    <w:rsid w:val="00213223"/>
    <w:rsid w:val="002317D4"/>
    <w:rsid w:val="00237E47"/>
    <w:rsid w:val="00254934"/>
    <w:rsid w:val="00257452"/>
    <w:rsid w:val="002A543C"/>
    <w:rsid w:val="00350911"/>
    <w:rsid w:val="00361844"/>
    <w:rsid w:val="00375A3F"/>
    <w:rsid w:val="00380197"/>
    <w:rsid w:val="003A7273"/>
    <w:rsid w:val="003F19E3"/>
    <w:rsid w:val="00403069"/>
    <w:rsid w:val="0045384D"/>
    <w:rsid w:val="00456964"/>
    <w:rsid w:val="004B5DEE"/>
    <w:rsid w:val="00545FC8"/>
    <w:rsid w:val="005A1AB5"/>
    <w:rsid w:val="005F4B02"/>
    <w:rsid w:val="00607A1E"/>
    <w:rsid w:val="00623B19"/>
    <w:rsid w:val="00645F84"/>
    <w:rsid w:val="00652A0D"/>
    <w:rsid w:val="00712882"/>
    <w:rsid w:val="00713376"/>
    <w:rsid w:val="00717153"/>
    <w:rsid w:val="00721BC8"/>
    <w:rsid w:val="0072735F"/>
    <w:rsid w:val="00733DC9"/>
    <w:rsid w:val="00762660"/>
    <w:rsid w:val="00770B7F"/>
    <w:rsid w:val="007A0BE9"/>
    <w:rsid w:val="007D215A"/>
    <w:rsid w:val="00822BFC"/>
    <w:rsid w:val="0088206F"/>
    <w:rsid w:val="00890264"/>
    <w:rsid w:val="008A4936"/>
    <w:rsid w:val="008B028D"/>
    <w:rsid w:val="008E2D80"/>
    <w:rsid w:val="00904C20"/>
    <w:rsid w:val="00933A78"/>
    <w:rsid w:val="0093649F"/>
    <w:rsid w:val="00942998"/>
    <w:rsid w:val="00972363"/>
    <w:rsid w:val="00983868"/>
    <w:rsid w:val="00987F46"/>
    <w:rsid w:val="009C3102"/>
    <w:rsid w:val="009C5467"/>
    <w:rsid w:val="009E5CE3"/>
    <w:rsid w:val="00A1094B"/>
    <w:rsid w:val="00A132B2"/>
    <w:rsid w:val="00A26FB4"/>
    <w:rsid w:val="00A53D16"/>
    <w:rsid w:val="00A64E72"/>
    <w:rsid w:val="00AB0078"/>
    <w:rsid w:val="00AC0184"/>
    <w:rsid w:val="00AC2D11"/>
    <w:rsid w:val="00AD5942"/>
    <w:rsid w:val="00AE4C0C"/>
    <w:rsid w:val="00AF5A85"/>
    <w:rsid w:val="00B5087B"/>
    <w:rsid w:val="00B556AC"/>
    <w:rsid w:val="00C02811"/>
    <w:rsid w:val="00C078FD"/>
    <w:rsid w:val="00C123A0"/>
    <w:rsid w:val="00C16352"/>
    <w:rsid w:val="00C7042F"/>
    <w:rsid w:val="00C87F7D"/>
    <w:rsid w:val="00CD2467"/>
    <w:rsid w:val="00CD2EE0"/>
    <w:rsid w:val="00CD4CA7"/>
    <w:rsid w:val="00CE579F"/>
    <w:rsid w:val="00D14760"/>
    <w:rsid w:val="00D67E30"/>
    <w:rsid w:val="00DA7F4C"/>
    <w:rsid w:val="00DB0619"/>
    <w:rsid w:val="00DD206B"/>
    <w:rsid w:val="00DD38F8"/>
    <w:rsid w:val="00DF3029"/>
    <w:rsid w:val="00E549F3"/>
    <w:rsid w:val="00E67A4F"/>
    <w:rsid w:val="00E73EE3"/>
    <w:rsid w:val="00E92C04"/>
    <w:rsid w:val="00EA3457"/>
    <w:rsid w:val="00EC6511"/>
    <w:rsid w:val="00F13CA4"/>
    <w:rsid w:val="00F36B24"/>
    <w:rsid w:val="00F4547A"/>
    <w:rsid w:val="00F61AD2"/>
    <w:rsid w:val="00F733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660"/>
  </w:style>
  <w:style w:type="paragraph" w:styleId="Heading1">
    <w:name w:val="heading 1"/>
    <w:basedOn w:val="Normal"/>
    <w:next w:val="Normal"/>
    <w:link w:val="Heading1Char"/>
    <w:uiPriority w:val="9"/>
    <w:qFormat/>
    <w:rsid w:val="00DD38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38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38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38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38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38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8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8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8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8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38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38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38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38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3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8F8"/>
    <w:rPr>
      <w:rFonts w:eastAsiaTheme="majorEastAsia" w:cstheme="majorBidi"/>
      <w:color w:val="272727" w:themeColor="text1" w:themeTint="D8"/>
    </w:rPr>
  </w:style>
  <w:style w:type="paragraph" w:styleId="Title">
    <w:name w:val="Title"/>
    <w:basedOn w:val="Normal"/>
    <w:next w:val="Normal"/>
    <w:link w:val="TitleChar"/>
    <w:uiPriority w:val="10"/>
    <w:qFormat/>
    <w:rsid w:val="00DD3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8F8"/>
    <w:pPr>
      <w:spacing w:before="160"/>
      <w:jc w:val="center"/>
    </w:pPr>
    <w:rPr>
      <w:i/>
      <w:iCs/>
      <w:color w:val="404040" w:themeColor="text1" w:themeTint="BF"/>
    </w:rPr>
  </w:style>
  <w:style w:type="character" w:customStyle="1" w:styleId="QuoteChar">
    <w:name w:val="Quote Char"/>
    <w:basedOn w:val="DefaultParagraphFont"/>
    <w:link w:val="Quote"/>
    <w:uiPriority w:val="29"/>
    <w:rsid w:val="00DD38F8"/>
    <w:rPr>
      <w:i/>
      <w:iCs/>
      <w:color w:val="404040" w:themeColor="text1" w:themeTint="BF"/>
    </w:rPr>
  </w:style>
  <w:style w:type="paragraph" w:styleId="ListParagraph">
    <w:name w:val="List Paragraph"/>
    <w:basedOn w:val="Normal"/>
    <w:uiPriority w:val="34"/>
    <w:qFormat/>
    <w:rsid w:val="00DD38F8"/>
    <w:pPr>
      <w:ind w:left="720"/>
      <w:contextualSpacing/>
    </w:pPr>
  </w:style>
  <w:style w:type="character" w:styleId="IntenseEmphasis">
    <w:name w:val="Intense Emphasis"/>
    <w:basedOn w:val="DefaultParagraphFont"/>
    <w:uiPriority w:val="21"/>
    <w:qFormat/>
    <w:rsid w:val="00DD38F8"/>
    <w:rPr>
      <w:i/>
      <w:iCs/>
      <w:color w:val="2F5496" w:themeColor="accent1" w:themeShade="BF"/>
    </w:rPr>
  </w:style>
  <w:style w:type="paragraph" w:styleId="IntenseQuote">
    <w:name w:val="Intense Quote"/>
    <w:basedOn w:val="Normal"/>
    <w:next w:val="Normal"/>
    <w:link w:val="IntenseQuoteChar"/>
    <w:uiPriority w:val="30"/>
    <w:qFormat/>
    <w:rsid w:val="00DD38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38F8"/>
    <w:rPr>
      <w:i/>
      <w:iCs/>
      <w:color w:val="2F5496" w:themeColor="accent1" w:themeShade="BF"/>
    </w:rPr>
  </w:style>
  <w:style w:type="character" w:styleId="IntenseReference">
    <w:name w:val="Intense Reference"/>
    <w:basedOn w:val="DefaultParagraphFont"/>
    <w:uiPriority w:val="32"/>
    <w:qFormat/>
    <w:rsid w:val="00DD38F8"/>
    <w:rPr>
      <w:b/>
      <w:bCs/>
      <w:smallCaps/>
      <w:color w:val="2F5496" w:themeColor="accent1" w:themeShade="BF"/>
      <w:spacing w:val="5"/>
    </w:rPr>
  </w:style>
  <w:style w:type="character" w:styleId="Hyperlink">
    <w:name w:val="Hyperlink"/>
    <w:uiPriority w:val="99"/>
    <w:unhideWhenUsed/>
    <w:rsid w:val="00E92C04"/>
    <w:rPr>
      <w:color w:val="0000FF"/>
      <w:u w:val="single"/>
    </w:rPr>
  </w:style>
  <w:style w:type="character" w:styleId="FootnoteReference">
    <w:name w:val="footnote reference"/>
    <w:uiPriority w:val="99"/>
    <w:semiHidden/>
    <w:unhideWhenUsed/>
    <w:rsid w:val="00E92C04"/>
    <w:rPr>
      <w:vertAlign w:val="superscript"/>
    </w:rPr>
  </w:style>
  <w:style w:type="paragraph" w:styleId="Header">
    <w:name w:val="header"/>
    <w:basedOn w:val="Normal"/>
    <w:link w:val="HeaderChar"/>
    <w:uiPriority w:val="99"/>
    <w:unhideWhenUsed/>
    <w:rsid w:val="00972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63"/>
  </w:style>
  <w:style w:type="paragraph" w:styleId="Footer">
    <w:name w:val="footer"/>
    <w:basedOn w:val="Normal"/>
    <w:link w:val="FooterChar"/>
    <w:uiPriority w:val="99"/>
    <w:unhideWhenUsed/>
    <w:rsid w:val="00972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63"/>
  </w:style>
  <w:style w:type="paragraph" w:styleId="BalloonText">
    <w:name w:val="Balloon Text"/>
    <w:basedOn w:val="Normal"/>
    <w:link w:val="BalloonTextChar"/>
    <w:uiPriority w:val="99"/>
    <w:semiHidden/>
    <w:unhideWhenUsed/>
    <w:rsid w:val="009723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2363"/>
    <w:rPr>
      <w:rFonts w:ascii="Tahoma" w:hAnsi="Tahoma" w:cs="Tahoma"/>
      <w:sz w:val="16"/>
      <w:szCs w:val="16"/>
    </w:rPr>
  </w:style>
  <w:style w:type="paragraph" w:styleId="FootnoteText">
    <w:name w:val="footnote text"/>
    <w:basedOn w:val="Normal"/>
    <w:link w:val="FootnoteTextChar"/>
    <w:uiPriority w:val="99"/>
    <w:semiHidden/>
    <w:unhideWhenUsed/>
    <w:rsid w:val="009723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2363"/>
    <w:rPr>
      <w:sz w:val="20"/>
      <w:szCs w:val="20"/>
    </w:rPr>
  </w:style>
  <w:style w:type="paragraph" w:styleId="NoSpacing">
    <w:name w:val="No Spacing"/>
    <w:uiPriority w:val="1"/>
    <w:qFormat/>
    <w:rsid w:val="0097236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dvocatepooranpande@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6163A8647B46C5BDE362893E1B99B9"/>
        <w:category>
          <w:name w:val="General"/>
          <w:gallery w:val="placeholder"/>
        </w:category>
        <w:types>
          <w:type w:val="bbPlcHdr"/>
        </w:types>
        <w:behaviors>
          <w:behavior w:val="content"/>
        </w:behaviors>
        <w:guid w:val="{E4C61E2F-EC0A-4DAE-B701-DD507EFAEE34}"/>
      </w:docPartPr>
      <w:docPartBody>
        <w:p w:rsidR="00727D6B" w:rsidRDefault="00C14FBE" w:rsidP="00C14FBE">
          <w:pPr>
            <w:pStyle w:val="0A6163A8647B46C5BDE362893E1B99B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14FBE"/>
    <w:rsid w:val="002E69B0"/>
    <w:rsid w:val="0034054B"/>
    <w:rsid w:val="005D3D2C"/>
    <w:rsid w:val="00727D6B"/>
    <w:rsid w:val="00C14FBE"/>
    <w:rsid w:val="00EA7B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D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6163A8647B46C5BDE362893E1B99B9">
    <w:name w:val="0A6163A8647B46C5BDE362893E1B99B9"/>
    <w:rsid w:val="00C14FBE"/>
  </w:style>
  <w:style w:type="paragraph" w:customStyle="1" w:styleId="58114748268E43548594A510CF17661B">
    <w:name w:val="58114748268E43548594A510CF17661B"/>
    <w:rsid w:val="00C14FB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7</Pages>
  <Words>3335</Words>
  <Characters>19012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ISSN….XXXX                                                                                       Vol. Issue. </vt:lpstr>
    </vt:vector>
  </TitlesOfParts>
  <Company/>
  <LinksUpToDate>false</LinksUpToDate>
  <CharactersWithSpaces>22303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ISSN….XXXX                                                                                       Vol. Issue. </dc:title>
  <dc:subject/>
  <dc:creator>Pooran Pande</dc:creator>
  <cp:keywords/>
  <dc:description/>
  <cp:lastModifiedBy>TMU-7</cp:lastModifiedBy>
  <cp:revision>21</cp:revision>
  <dcterms:created xsi:type="dcterms:W3CDTF">2026-04-18T06:06:00Z</dcterms:created>
  <dcterms:modified xsi:type="dcterms:W3CDTF">2026-05-29T10:54:00Z</dcterms:modified>
</cp:coreProperties>
</file>