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404" w:rsidRPr="006E0209" w:rsidRDefault="00C04404" w:rsidP="00B41E20">
      <w:pPr>
        <w:pStyle w:val="NoSpacing"/>
        <w:rPr>
          <w:rFonts w:ascii="Times New Roman" w:hAnsi="Times New Roman" w:cs="Times New Roman"/>
          <w:b/>
          <w:bCs/>
          <w:sz w:val="32"/>
          <w:szCs w:val="32"/>
        </w:rPr>
      </w:pPr>
      <w:r w:rsidRPr="006E0209">
        <w:rPr>
          <w:rFonts w:ascii="Times New Roman" w:hAnsi="Times New Roman" w:cs="Times New Roman"/>
          <w:b/>
          <w:bCs/>
          <w:sz w:val="32"/>
          <w:szCs w:val="32"/>
        </w:rPr>
        <w:t>EMINENT DOMAIN IN URBAN INDIA: EVALUATING THE LEGAL FRAMEWORK OF LAND ACQUISITION AND COMPENSATION RIGHTS</w:t>
      </w:r>
    </w:p>
    <w:p w:rsidR="00153581" w:rsidRPr="00F4510B" w:rsidRDefault="0055457F" w:rsidP="00F4510B">
      <w:pPr>
        <w:pStyle w:val="NoSpacing"/>
        <w:ind w:left="1440" w:firstLine="720"/>
        <w:rPr>
          <w:rFonts w:ascii="Times New Roman" w:hAnsi="Times New Roman" w:cs="Times New Roman"/>
          <w:b/>
          <w:i/>
          <w:sz w:val="24"/>
          <w:szCs w:val="24"/>
        </w:rPr>
      </w:pPr>
      <w:r w:rsidRPr="00F4510B">
        <w:rPr>
          <w:rFonts w:ascii="Times New Roman" w:hAnsi="Times New Roman" w:cs="Times New Roman"/>
          <w:b/>
          <w:i/>
          <w:sz w:val="24"/>
          <w:szCs w:val="24"/>
        </w:rPr>
        <w:t>Rishabh Saxena</w:t>
      </w:r>
      <w:r w:rsidR="00F4510B">
        <w:rPr>
          <w:rStyle w:val="FootnoteReference"/>
          <w:rFonts w:ascii="Times New Roman" w:hAnsi="Times New Roman" w:cs="Times New Roman"/>
          <w:b/>
          <w:i/>
          <w:sz w:val="24"/>
          <w:szCs w:val="24"/>
        </w:rPr>
        <w:footnoteReference w:id="2"/>
      </w:r>
    </w:p>
    <w:p w:rsidR="00153581" w:rsidRPr="00153581" w:rsidRDefault="00153581" w:rsidP="00153581">
      <w:pPr>
        <w:pStyle w:val="NoSpacing"/>
        <w:jc w:val="right"/>
        <w:rPr>
          <w:rFonts w:ascii="Times New Roman" w:hAnsi="Times New Roman" w:cs="Times New Roman"/>
          <w:b/>
          <w:bCs/>
          <w:sz w:val="24"/>
          <w:szCs w:val="24"/>
        </w:rPr>
      </w:pPr>
    </w:p>
    <w:p w:rsidR="009B6181" w:rsidRPr="00153581" w:rsidRDefault="009B6181" w:rsidP="00153581">
      <w:pPr>
        <w:pStyle w:val="NoSpacing"/>
        <w:rPr>
          <w:rFonts w:ascii="Times New Roman" w:hAnsi="Times New Roman" w:cs="Times New Roman"/>
          <w:b/>
          <w:bCs/>
          <w:i/>
          <w:iCs/>
          <w:sz w:val="24"/>
          <w:szCs w:val="24"/>
          <w:u w:val="single"/>
        </w:rPr>
      </w:pPr>
      <w:r w:rsidRPr="00153581">
        <w:rPr>
          <w:rFonts w:ascii="Times New Roman" w:hAnsi="Times New Roman" w:cs="Times New Roman"/>
          <w:b/>
          <w:bCs/>
          <w:i/>
          <w:iCs/>
          <w:sz w:val="24"/>
          <w:szCs w:val="24"/>
          <w:u w:val="single"/>
        </w:rPr>
        <w:t>Abstract</w:t>
      </w:r>
    </w:p>
    <w:p w:rsidR="00ED1C05" w:rsidRDefault="009B6181" w:rsidP="00706C05">
      <w:pPr>
        <w:pStyle w:val="NoSpacing"/>
        <w:jc w:val="both"/>
        <w:rPr>
          <w:rFonts w:ascii="Times New Roman" w:hAnsi="Times New Roman" w:cs="Times New Roman"/>
          <w:sz w:val="24"/>
          <w:szCs w:val="24"/>
        </w:rPr>
      </w:pPr>
      <w:r w:rsidRPr="00706C05">
        <w:rPr>
          <w:rFonts w:ascii="Times New Roman" w:hAnsi="Times New Roman" w:cs="Times New Roman"/>
          <w:sz w:val="24"/>
          <w:szCs w:val="24"/>
        </w:rPr>
        <w:t xml:space="preserve">The doctrine of eminent domain empowers the State to acquire private property for public purposes, subject to the obligation of providing just and fair compensation. In urban India, rapid industrialization, infrastructure expansion, and smart city initiatives have intensified the use of land acquisition mechanisms, often raising concerns regarding displacement, procedural fairness, and adequacy of compensation. </w:t>
      </w:r>
    </w:p>
    <w:p w:rsidR="00ED1C05" w:rsidRDefault="00ED1C05" w:rsidP="00706C05">
      <w:pPr>
        <w:pStyle w:val="NoSpacing"/>
        <w:jc w:val="both"/>
        <w:rPr>
          <w:rFonts w:ascii="Times New Roman" w:hAnsi="Times New Roman" w:cs="Times New Roman"/>
          <w:sz w:val="24"/>
          <w:szCs w:val="24"/>
        </w:rPr>
      </w:pPr>
    </w:p>
    <w:p w:rsidR="009B6181" w:rsidRDefault="009B6181" w:rsidP="00706C05">
      <w:pPr>
        <w:pStyle w:val="NoSpacing"/>
        <w:jc w:val="both"/>
        <w:rPr>
          <w:rFonts w:ascii="Times New Roman" w:hAnsi="Times New Roman" w:cs="Times New Roman"/>
          <w:sz w:val="24"/>
          <w:szCs w:val="24"/>
        </w:rPr>
      </w:pPr>
      <w:r w:rsidRPr="00706C05">
        <w:rPr>
          <w:rFonts w:ascii="Times New Roman" w:hAnsi="Times New Roman" w:cs="Times New Roman"/>
          <w:sz w:val="24"/>
          <w:szCs w:val="24"/>
        </w:rPr>
        <w:t>This paper critically evaluates the legal framework governing urban land acquisition, with partic</w:t>
      </w:r>
      <w:r w:rsidR="0093562D">
        <w:rPr>
          <w:rFonts w:ascii="Times New Roman" w:hAnsi="Times New Roman" w:cs="Times New Roman"/>
          <w:sz w:val="24"/>
          <w:szCs w:val="24"/>
        </w:rPr>
        <w:t xml:space="preserve">ular emphasis on </w:t>
      </w:r>
      <w:r w:rsidRPr="00706C05">
        <w:rPr>
          <w:rFonts w:ascii="Times New Roman" w:hAnsi="Times New Roman" w:cs="Times New Roman"/>
          <w:sz w:val="24"/>
          <w:szCs w:val="24"/>
        </w:rPr>
        <w:t>The Right to Fair Compensation and Transparency in Land Acquisition, Rehabilitation and Resettlement Act, 2013. It examines the evolution of compensation jurisprudence in light of constitutional mandates under Article 300A of the Constitution of India, judicial interpretations, and policy reforms.</w:t>
      </w:r>
    </w:p>
    <w:p w:rsidR="00706C05" w:rsidRPr="00706C05" w:rsidRDefault="00706C05" w:rsidP="00706C05">
      <w:pPr>
        <w:pStyle w:val="NoSpacing"/>
        <w:jc w:val="both"/>
        <w:rPr>
          <w:rFonts w:ascii="Times New Roman" w:hAnsi="Times New Roman" w:cs="Times New Roman"/>
          <w:sz w:val="24"/>
          <w:szCs w:val="24"/>
        </w:rPr>
      </w:pPr>
    </w:p>
    <w:p w:rsidR="00D4582D" w:rsidRDefault="009B6181" w:rsidP="00706C05">
      <w:pPr>
        <w:pStyle w:val="NoSpacing"/>
        <w:jc w:val="both"/>
        <w:rPr>
          <w:rFonts w:ascii="Times New Roman" w:hAnsi="Times New Roman" w:cs="Times New Roman"/>
          <w:sz w:val="24"/>
          <w:szCs w:val="24"/>
        </w:rPr>
      </w:pPr>
      <w:r w:rsidRPr="00706C05">
        <w:rPr>
          <w:rFonts w:ascii="Times New Roman" w:hAnsi="Times New Roman" w:cs="Times New Roman"/>
          <w:sz w:val="24"/>
          <w:szCs w:val="24"/>
        </w:rPr>
        <w:t xml:space="preserve">The study adopts a doctrinal methodology to analyze statutory provisions, landmark judicial decisions, and recent amendments affecting urban land governance. It highlights persistent </w:t>
      </w:r>
      <w:r w:rsidRPr="00706C05">
        <w:rPr>
          <w:rFonts w:ascii="Times New Roman" w:hAnsi="Times New Roman" w:cs="Times New Roman"/>
          <w:sz w:val="24"/>
          <w:szCs w:val="24"/>
        </w:rPr>
        <w:lastRenderedPageBreak/>
        <w:t xml:space="preserve">challenges such as delays in compensation, lack of transparency, and socio-economic inequities faced by affected communities. </w:t>
      </w:r>
    </w:p>
    <w:p w:rsidR="00D4582D" w:rsidRDefault="00D4582D" w:rsidP="00706C05">
      <w:pPr>
        <w:pStyle w:val="NoSpacing"/>
        <w:jc w:val="both"/>
        <w:rPr>
          <w:rFonts w:ascii="Times New Roman" w:hAnsi="Times New Roman" w:cs="Times New Roman"/>
          <w:sz w:val="24"/>
          <w:szCs w:val="24"/>
        </w:rPr>
      </w:pPr>
    </w:p>
    <w:p w:rsidR="009B6181" w:rsidRPr="00706C05" w:rsidRDefault="009B6181" w:rsidP="00706C05">
      <w:pPr>
        <w:pStyle w:val="NoSpacing"/>
        <w:jc w:val="both"/>
        <w:rPr>
          <w:rFonts w:ascii="Times New Roman" w:hAnsi="Times New Roman" w:cs="Times New Roman"/>
          <w:sz w:val="24"/>
          <w:szCs w:val="24"/>
        </w:rPr>
      </w:pPr>
      <w:r w:rsidRPr="00706C05">
        <w:rPr>
          <w:rFonts w:ascii="Times New Roman" w:hAnsi="Times New Roman" w:cs="Times New Roman"/>
          <w:sz w:val="24"/>
          <w:szCs w:val="24"/>
        </w:rPr>
        <w:t>Furthermore, the paper explores the tension between developmental imperatives and individual property rights, questioning whether existing safeguards sufficiently uphold the principle of justice.</w:t>
      </w:r>
      <w:r w:rsidR="0093562D">
        <w:rPr>
          <w:rFonts w:ascii="Times New Roman" w:hAnsi="Times New Roman" w:cs="Times New Roman"/>
          <w:sz w:val="24"/>
          <w:szCs w:val="24"/>
        </w:rPr>
        <w:t xml:space="preserve"> </w:t>
      </w:r>
      <w:r w:rsidR="007C3F09">
        <w:rPr>
          <w:rFonts w:ascii="Times New Roman" w:hAnsi="Times New Roman" w:cs="Times New Roman"/>
          <w:sz w:val="24"/>
          <w:szCs w:val="24"/>
        </w:rPr>
        <w:t xml:space="preserve"> </w:t>
      </w:r>
      <w:r w:rsidRPr="00706C05">
        <w:rPr>
          <w:rFonts w:ascii="Times New Roman" w:hAnsi="Times New Roman" w:cs="Times New Roman"/>
          <w:sz w:val="24"/>
          <w:szCs w:val="24"/>
        </w:rPr>
        <w:t>The research concludes by recommending legal and policy reforms aimed</w:t>
      </w:r>
      <w:r w:rsidR="0093562D">
        <w:rPr>
          <w:rFonts w:ascii="Times New Roman" w:hAnsi="Times New Roman" w:cs="Times New Roman"/>
          <w:sz w:val="24"/>
          <w:szCs w:val="24"/>
        </w:rPr>
        <w:t xml:space="preserve"> at strengthening participatory processes, ensuring </w:t>
      </w:r>
      <w:r w:rsidRPr="00706C05">
        <w:rPr>
          <w:rFonts w:ascii="Times New Roman" w:hAnsi="Times New Roman" w:cs="Times New Roman"/>
          <w:sz w:val="24"/>
          <w:szCs w:val="24"/>
        </w:rPr>
        <w:t>equitable compensation, and enhancing a</w:t>
      </w:r>
      <w:r w:rsidR="0093562D">
        <w:rPr>
          <w:rFonts w:ascii="Times New Roman" w:hAnsi="Times New Roman" w:cs="Times New Roman"/>
          <w:sz w:val="24"/>
          <w:szCs w:val="24"/>
        </w:rPr>
        <w:t xml:space="preserve">ccountability in eminent domain </w:t>
      </w:r>
      <w:r w:rsidRPr="00706C05">
        <w:rPr>
          <w:rFonts w:ascii="Times New Roman" w:hAnsi="Times New Roman" w:cs="Times New Roman"/>
          <w:sz w:val="24"/>
          <w:szCs w:val="24"/>
        </w:rPr>
        <w:t>practices in urban India.</w:t>
      </w:r>
    </w:p>
    <w:p w:rsidR="00706C05" w:rsidRDefault="00706C05" w:rsidP="009B4060">
      <w:pPr>
        <w:tabs>
          <w:tab w:val="num" w:pos="720"/>
        </w:tabs>
        <w:spacing w:line="360" w:lineRule="auto"/>
        <w:jc w:val="both"/>
        <w:rPr>
          <w:rFonts w:ascii="Times New Roman" w:hAnsi="Times New Roman" w:cs="Times New Roman"/>
          <w:b/>
          <w:bCs/>
          <w:i/>
          <w:iCs/>
          <w:sz w:val="24"/>
          <w:szCs w:val="24"/>
        </w:rPr>
      </w:pPr>
    </w:p>
    <w:p w:rsidR="009B6181" w:rsidRPr="00706C05" w:rsidRDefault="009B6181" w:rsidP="00706C05">
      <w:pPr>
        <w:pStyle w:val="NoSpacing"/>
        <w:jc w:val="both"/>
        <w:rPr>
          <w:rFonts w:ascii="Times New Roman" w:hAnsi="Times New Roman" w:cs="Times New Roman"/>
          <w:sz w:val="24"/>
          <w:szCs w:val="24"/>
        </w:rPr>
      </w:pPr>
      <w:r w:rsidRPr="00706C05">
        <w:rPr>
          <w:rFonts w:ascii="Times New Roman" w:hAnsi="Times New Roman" w:cs="Times New Roman"/>
          <w:b/>
          <w:bCs/>
          <w:i/>
          <w:iCs/>
          <w:sz w:val="24"/>
          <w:szCs w:val="24"/>
        </w:rPr>
        <w:t>Keywords</w:t>
      </w:r>
      <w:r w:rsidR="009B4060" w:rsidRPr="00706C05">
        <w:rPr>
          <w:rFonts w:ascii="Times New Roman" w:hAnsi="Times New Roman" w:cs="Times New Roman"/>
          <w:b/>
          <w:bCs/>
          <w:i/>
          <w:iCs/>
          <w:sz w:val="24"/>
          <w:szCs w:val="24"/>
        </w:rPr>
        <w:t>:</w:t>
      </w:r>
      <w:r w:rsidR="003B421E">
        <w:rPr>
          <w:rFonts w:ascii="Times New Roman" w:hAnsi="Times New Roman" w:cs="Times New Roman"/>
          <w:b/>
          <w:bCs/>
          <w:i/>
          <w:iCs/>
          <w:sz w:val="24"/>
          <w:szCs w:val="24"/>
        </w:rPr>
        <w:t xml:space="preserve"> </w:t>
      </w:r>
      <w:r w:rsidR="009B4060" w:rsidRPr="00706C05">
        <w:rPr>
          <w:rFonts w:ascii="Times New Roman" w:hAnsi="Times New Roman" w:cs="Times New Roman"/>
          <w:sz w:val="24"/>
          <w:szCs w:val="24"/>
        </w:rPr>
        <w:t xml:space="preserve">Eminent Domain, </w:t>
      </w:r>
      <w:r w:rsidRPr="00706C05">
        <w:rPr>
          <w:rFonts w:ascii="Times New Roman" w:hAnsi="Times New Roman" w:cs="Times New Roman"/>
          <w:sz w:val="24"/>
          <w:szCs w:val="24"/>
        </w:rPr>
        <w:t xml:space="preserve">Urban Land </w:t>
      </w:r>
      <w:r w:rsidR="009B4060" w:rsidRPr="00706C05">
        <w:rPr>
          <w:rFonts w:ascii="Times New Roman" w:hAnsi="Times New Roman" w:cs="Times New Roman"/>
          <w:sz w:val="24"/>
          <w:szCs w:val="24"/>
        </w:rPr>
        <w:t xml:space="preserve">Acquisition, Fair Compensation, Rehabilitation and Resettlement, </w:t>
      </w:r>
      <w:r w:rsidRPr="00706C05">
        <w:rPr>
          <w:rFonts w:ascii="Times New Roman" w:hAnsi="Times New Roman" w:cs="Times New Roman"/>
          <w:sz w:val="24"/>
          <w:szCs w:val="24"/>
        </w:rPr>
        <w:t>Property Rights</w:t>
      </w:r>
      <w:r w:rsidR="009B4060" w:rsidRPr="00706C05">
        <w:rPr>
          <w:rFonts w:ascii="Times New Roman" w:hAnsi="Times New Roman" w:cs="Times New Roman"/>
          <w:sz w:val="24"/>
          <w:szCs w:val="24"/>
        </w:rPr>
        <w:t>.</w:t>
      </w:r>
    </w:p>
    <w:p w:rsidR="009B6181" w:rsidRDefault="009B6181" w:rsidP="009B6181">
      <w:pPr>
        <w:spacing w:line="360" w:lineRule="auto"/>
        <w:rPr>
          <w:rFonts w:ascii="Times New Roman" w:hAnsi="Times New Roman" w:cs="Times New Roman"/>
          <w:sz w:val="28"/>
          <w:szCs w:val="28"/>
        </w:rPr>
      </w:pPr>
    </w:p>
    <w:p w:rsidR="006E5FF4" w:rsidRPr="001329DC" w:rsidRDefault="009907CC" w:rsidP="001329DC">
      <w:pPr>
        <w:pStyle w:val="NoSpacing"/>
        <w:numPr>
          <w:ilvl w:val="0"/>
          <w:numId w:val="14"/>
        </w:numPr>
        <w:jc w:val="both"/>
        <w:rPr>
          <w:rFonts w:ascii="Times New Roman" w:hAnsi="Times New Roman" w:cs="Times New Roman"/>
          <w:b/>
          <w:bCs/>
          <w:sz w:val="24"/>
          <w:szCs w:val="24"/>
        </w:rPr>
      </w:pPr>
      <w:r w:rsidRPr="001329DC">
        <w:rPr>
          <w:rFonts w:ascii="Times New Roman" w:hAnsi="Times New Roman" w:cs="Times New Roman"/>
          <w:b/>
          <w:bCs/>
          <w:sz w:val="24"/>
          <w:szCs w:val="24"/>
        </w:rPr>
        <w:t>Introduction</w:t>
      </w:r>
    </w:p>
    <w:p w:rsidR="002E7EB5" w:rsidRPr="002E7EB5" w:rsidRDefault="002E7EB5" w:rsidP="002E7EB5">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112"/>
        </w:rPr>
      </w:pPr>
      <w:r w:rsidRPr="002E7EB5">
        <w:rPr>
          <w:rFonts w:ascii="Times New Roman" w:hAnsi="Times New Roman" w:cs="Times New Roman"/>
          <w:position w:val="-11"/>
          <w:sz w:val="112"/>
          <w:szCs w:val="112"/>
        </w:rPr>
        <w:t>P</w:t>
      </w:r>
    </w:p>
    <w:p w:rsidR="006E5FF4" w:rsidRPr="001329DC" w:rsidRDefault="009907CC" w:rsidP="001329DC">
      <w:pPr>
        <w:pStyle w:val="NoSpacing"/>
        <w:jc w:val="both"/>
        <w:rPr>
          <w:rFonts w:ascii="Times New Roman" w:hAnsi="Times New Roman" w:cs="Times New Roman"/>
          <w:sz w:val="24"/>
          <w:szCs w:val="24"/>
        </w:rPr>
      </w:pPr>
      <w:r w:rsidRPr="001329DC">
        <w:rPr>
          <w:rFonts w:ascii="Times New Roman" w:hAnsi="Times New Roman" w:cs="Times New Roman"/>
          <w:sz w:val="24"/>
          <w:szCs w:val="24"/>
        </w:rPr>
        <w:t>resuming a lack of regulation, voluntary land assembly will be inefficient if ownership of the initial fragment is dispersed. Such projects cost the original landowners nothing; land assemblers must negotiate a price with each owner. Therefore, those owners hold a rent high enough to make the project uncentered. Comp</w:t>
      </w:r>
      <w:r w:rsidR="00441872" w:rsidRPr="001329DC">
        <w:rPr>
          <w:rFonts w:ascii="Times New Roman" w:hAnsi="Times New Roman" w:cs="Times New Roman"/>
          <w:sz w:val="24"/>
          <w:szCs w:val="24"/>
        </w:rPr>
        <w:t>etition drives buyers elsewhere</w:t>
      </w:r>
      <w:r w:rsidRPr="001329DC">
        <w:rPr>
          <w:rFonts w:ascii="Times New Roman" w:hAnsi="Times New Roman" w:cs="Times New Roman"/>
          <w:sz w:val="24"/>
          <w:szCs w:val="24"/>
        </w:rPr>
        <w:t>. The land assembly may proceed if the state employs its eminent domain powers, particularly if land assembly value is high relative to condemnation value, which will usually be the present worth of its future use in the less efficient use.</w:t>
      </w:r>
    </w:p>
    <w:p w:rsidR="008F4084" w:rsidRDefault="009907CC" w:rsidP="001329DC">
      <w:pPr>
        <w:pStyle w:val="NoSpacing"/>
        <w:jc w:val="both"/>
        <w:rPr>
          <w:rFonts w:ascii="Times New Roman" w:hAnsi="Times New Roman" w:cs="Times New Roman"/>
          <w:sz w:val="24"/>
          <w:szCs w:val="24"/>
        </w:rPr>
      </w:pPr>
      <w:r w:rsidRPr="001329DC">
        <w:rPr>
          <w:rFonts w:ascii="Times New Roman" w:hAnsi="Times New Roman" w:cs="Times New Roman"/>
          <w:sz w:val="24"/>
          <w:szCs w:val="24"/>
        </w:rPr>
        <w:t xml:space="preserve">Thus, private land assemblers have an incentive to lobby for eminent domain. Yet lawmakers may wish to avert these </w:t>
      </w:r>
      <w:r w:rsidRPr="001329DC">
        <w:rPr>
          <w:rFonts w:ascii="Times New Roman" w:hAnsi="Times New Roman" w:cs="Times New Roman"/>
          <w:sz w:val="24"/>
          <w:szCs w:val="24"/>
        </w:rPr>
        <w:lastRenderedPageBreak/>
        <w:t xml:space="preserve">concerns, and public assemblers often consider remedying them a serious challenge. </w:t>
      </w:r>
    </w:p>
    <w:p w:rsidR="008F4084" w:rsidRDefault="008F4084" w:rsidP="001329DC">
      <w:pPr>
        <w:pStyle w:val="NoSpacing"/>
        <w:jc w:val="both"/>
        <w:rPr>
          <w:rFonts w:ascii="Times New Roman" w:hAnsi="Times New Roman" w:cs="Times New Roman"/>
          <w:sz w:val="24"/>
          <w:szCs w:val="24"/>
        </w:rPr>
      </w:pPr>
    </w:p>
    <w:p w:rsidR="00C04404" w:rsidRDefault="009907CC" w:rsidP="001329DC">
      <w:pPr>
        <w:pStyle w:val="NoSpacing"/>
        <w:jc w:val="both"/>
      </w:pPr>
      <w:r w:rsidRPr="001329DC">
        <w:rPr>
          <w:rFonts w:ascii="Times New Roman" w:hAnsi="Times New Roman" w:cs="Times New Roman"/>
          <w:sz w:val="24"/>
          <w:szCs w:val="24"/>
        </w:rPr>
        <w:t xml:space="preserve">The recent focus of scholarship and reform movements has been on state regulatory approaches in which public assemblers must first condemn land as a </w:t>
      </w:r>
      <w:r w:rsidR="009B6181" w:rsidRPr="001329DC">
        <w:rPr>
          <w:rFonts w:ascii="Times New Roman" w:hAnsi="Times New Roman" w:cs="Times New Roman"/>
          <w:sz w:val="24"/>
          <w:szCs w:val="24"/>
        </w:rPr>
        <w:t xml:space="preserve">separate entity before assembly </w:t>
      </w:r>
      <w:r w:rsidRPr="001329DC">
        <w:rPr>
          <w:rFonts w:ascii="Times New Roman" w:hAnsi="Times New Roman" w:cs="Times New Roman"/>
          <w:sz w:val="24"/>
          <w:szCs w:val="24"/>
        </w:rPr>
        <w:t>that is, upon securing the necessary votes and enacting a land assembly district. In jurisdictions adopting these rules and similar measures, it is constitutionality mandated that the challenges be met (Duffy, 1969). Absent such a regulatory response, will these adverse consequences result? The accepted answer is, “yes.” It is rather obvious. Private assemblers will benefit greatly if only because of embarrassment; regulators will be unwilling to deploy their own eminent domain powers against these allies.</w:t>
      </w:r>
      <w:r w:rsidRPr="00C04404">
        <w:t xml:space="preserve"> </w:t>
      </w:r>
    </w:p>
    <w:p w:rsidR="001329DC" w:rsidRDefault="001329DC" w:rsidP="001329DC">
      <w:pPr>
        <w:pStyle w:val="NoSpacing"/>
        <w:jc w:val="both"/>
      </w:pPr>
    </w:p>
    <w:p w:rsidR="006E5FF4" w:rsidRPr="001329DC" w:rsidRDefault="009907CC" w:rsidP="001329DC">
      <w:pPr>
        <w:pStyle w:val="NoSpacing"/>
        <w:numPr>
          <w:ilvl w:val="0"/>
          <w:numId w:val="14"/>
        </w:numPr>
        <w:jc w:val="both"/>
        <w:rPr>
          <w:rFonts w:ascii="Times New Roman" w:hAnsi="Times New Roman" w:cs="Times New Roman"/>
          <w:b/>
          <w:bCs/>
          <w:sz w:val="24"/>
          <w:szCs w:val="24"/>
        </w:rPr>
      </w:pPr>
      <w:r w:rsidRPr="001329DC">
        <w:rPr>
          <w:rFonts w:ascii="Times New Roman" w:hAnsi="Times New Roman" w:cs="Times New Roman"/>
          <w:b/>
          <w:bCs/>
          <w:sz w:val="24"/>
          <w:szCs w:val="24"/>
        </w:rPr>
        <w:t>Historical Context of Eminent Domain</w:t>
      </w:r>
    </w:p>
    <w:p w:rsidR="00503EE7" w:rsidRDefault="009907CC" w:rsidP="001329DC">
      <w:pPr>
        <w:pStyle w:val="NoSpacing"/>
        <w:jc w:val="both"/>
        <w:rPr>
          <w:rFonts w:ascii="Times New Roman" w:hAnsi="Times New Roman" w:cs="Times New Roman"/>
          <w:sz w:val="24"/>
          <w:szCs w:val="24"/>
        </w:rPr>
      </w:pPr>
      <w:r w:rsidRPr="001329DC">
        <w:rPr>
          <w:rFonts w:ascii="Times New Roman" w:hAnsi="Times New Roman" w:cs="Times New Roman"/>
          <w:sz w:val="24"/>
          <w:szCs w:val="24"/>
        </w:rPr>
        <w:t xml:space="preserve">Eminent domain refers to the power of the state to take private property. This power is subject to two requirements: that the taking </w:t>
      </w:r>
      <w:r w:rsidR="00C04404" w:rsidRPr="001329DC">
        <w:rPr>
          <w:rFonts w:ascii="Times New Roman" w:hAnsi="Times New Roman" w:cs="Times New Roman"/>
          <w:sz w:val="24"/>
          <w:szCs w:val="24"/>
        </w:rPr>
        <w:t>is</w:t>
      </w:r>
      <w:r w:rsidRPr="001329DC">
        <w:rPr>
          <w:rFonts w:ascii="Times New Roman" w:hAnsi="Times New Roman" w:cs="Times New Roman"/>
          <w:sz w:val="24"/>
          <w:szCs w:val="24"/>
        </w:rPr>
        <w:t xml:space="preserve"> compensated and that it be for a public use. Most debate since the adoption of the Bill of Rights has centered on what constitutes fair payment to an often unwilling seller. A significant issue is what constitutes a public use or for what purposes the state can expropriate private property. </w:t>
      </w:r>
    </w:p>
    <w:p w:rsidR="00503EE7" w:rsidRDefault="00503EE7" w:rsidP="001329DC">
      <w:pPr>
        <w:pStyle w:val="NoSpacing"/>
        <w:jc w:val="both"/>
        <w:rPr>
          <w:rFonts w:ascii="Times New Roman" w:hAnsi="Times New Roman" w:cs="Times New Roman"/>
          <w:sz w:val="24"/>
          <w:szCs w:val="24"/>
        </w:rPr>
      </w:pPr>
    </w:p>
    <w:p w:rsidR="00C04404" w:rsidRDefault="009907CC" w:rsidP="001329DC">
      <w:pPr>
        <w:pStyle w:val="NoSpacing"/>
        <w:jc w:val="both"/>
        <w:rPr>
          <w:rFonts w:ascii="Times New Roman" w:hAnsi="Times New Roman" w:cs="Times New Roman"/>
          <w:sz w:val="24"/>
          <w:szCs w:val="24"/>
        </w:rPr>
      </w:pPr>
      <w:r w:rsidRPr="001329DC">
        <w:rPr>
          <w:rFonts w:ascii="Times New Roman" w:hAnsi="Times New Roman" w:cs="Times New Roman"/>
          <w:sz w:val="24"/>
          <w:szCs w:val="24"/>
        </w:rPr>
        <w:t xml:space="preserve">To many, this question seems simple. If eminent domain is exercised for the public interest, then the taking is valid. Conversely, if it is exercised in the private interest, it is not. The difficulties arise in determining beforehand what is in the public interest (E. Meidinger, 1980). In general, the uses of eminent domain unfolded as the economy </w:t>
      </w:r>
      <w:r w:rsidRPr="001329DC">
        <w:rPr>
          <w:rFonts w:ascii="Times New Roman" w:hAnsi="Times New Roman" w:cs="Times New Roman"/>
          <w:sz w:val="24"/>
          <w:szCs w:val="24"/>
        </w:rPr>
        <w:lastRenderedPageBreak/>
        <w:t>unfolded. Up through the 18th century, eminent domain was employed primarily to build roads and to provide hydropower for grist mills. The 19th century saw great expansion in the concept as railroads were built and urbanization commenced. In the early 20th century, buildings that are now generally characterized as public facilities entered the picture. An outline of the traditional categories of eminent domain use gives an overview of the public uses that are generally approved.</w:t>
      </w:r>
    </w:p>
    <w:p w:rsidR="001329DC" w:rsidRPr="001329DC" w:rsidRDefault="001329DC" w:rsidP="001329DC">
      <w:pPr>
        <w:pStyle w:val="NoSpacing"/>
        <w:jc w:val="both"/>
        <w:rPr>
          <w:rFonts w:ascii="Times New Roman" w:hAnsi="Times New Roman" w:cs="Times New Roman"/>
          <w:sz w:val="24"/>
          <w:szCs w:val="24"/>
        </w:rPr>
      </w:pPr>
    </w:p>
    <w:p w:rsidR="006E5FF4" w:rsidRPr="001329DC" w:rsidRDefault="009907CC" w:rsidP="001329DC">
      <w:pPr>
        <w:pStyle w:val="NoSpacing"/>
        <w:numPr>
          <w:ilvl w:val="0"/>
          <w:numId w:val="14"/>
        </w:numPr>
        <w:jc w:val="both"/>
        <w:rPr>
          <w:rFonts w:ascii="Times New Roman" w:hAnsi="Times New Roman" w:cs="Times New Roman"/>
          <w:b/>
          <w:bCs/>
          <w:sz w:val="24"/>
          <w:szCs w:val="24"/>
        </w:rPr>
      </w:pPr>
      <w:r w:rsidRPr="001329DC">
        <w:rPr>
          <w:rFonts w:ascii="Times New Roman" w:hAnsi="Times New Roman" w:cs="Times New Roman"/>
          <w:b/>
          <w:bCs/>
          <w:sz w:val="24"/>
          <w:szCs w:val="24"/>
        </w:rPr>
        <w:t>Legal Framework Governing Eminent Domain</w:t>
      </w:r>
    </w:p>
    <w:p w:rsidR="00DA3833" w:rsidRDefault="009907CC" w:rsidP="001329DC">
      <w:pPr>
        <w:pStyle w:val="NoSpacing"/>
        <w:jc w:val="both"/>
        <w:rPr>
          <w:rFonts w:ascii="Times New Roman" w:hAnsi="Times New Roman" w:cs="Times New Roman"/>
          <w:sz w:val="24"/>
          <w:szCs w:val="24"/>
        </w:rPr>
      </w:pPr>
      <w:r w:rsidRPr="001329DC">
        <w:rPr>
          <w:rFonts w:ascii="Times New Roman" w:hAnsi="Times New Roman" w:cs="Times New Roman"/>
          <w:sz w:val="24"/>
          <w:szCs w:val="24"/>
        </w:rPr>
        <w:t xml:space="preserve">This part has been designed to review the laws on acquisition of land for public purposes in New Delhi on the basis of the constitutional provisions and the provisions in the Land Acquisition Act, 1894. In addition, the working of these statutory provisions and any defects therein have also been discussed in this part. </w:t>
      </w:r>
    </w:p>
    <w:p w:rsidR="00DA3833" w:rsidRDefault="00DA3833" w:rsidP="001329DC">
      <w:pPr>
        <w:pStyle w:val="NoSpacing"/>
        <w:jc w:val="both"/>
        <w:rPr>
          <w:rFonts w:ascii="Times New Roman" w:hAnsi="Times New Roman" w:cs="Times New Roman"/>
          <w:sz w:val="24"/>
          <w:szCs w:val="24"/>
        </w:rPr>
      </w:pPr>
    </w:p>
    <w:p w:rsidR="00DA3833" w:rsidRDefault="009907CC" w:rsidP="001329DC">
      <w:pPr>
        <w:pStyle w:val="NoSpacing"/>
        <w:jc w:val="both"/>
        <w:rPr>
          <w:rFonts w:ascii="Times New Roman" w:hAnsi="Times New Roman" w:cs="Times New Roman"/>
          <w:sz w:val="24"/>
          <w:szCs w:val="24"/>
        </w:rPr>
      </w:pPr>
      <w:r w:rsidRPr="001329DC">
        <w:rPr>
          <w:rFonts w:ascii="Times New Roman" w:hAnsi="Times New Roman" w:cs="Times New Roman"/>
          <w:sz w:val="24"/>
          <w:szCs w:val="24"/>
        </w:rPr>
        <w:t xml:space="preserve">The law governing acquisition of land for public purposes may be divided into the law on records of rights (including tenures and rights) and the Law of Acquisition. The Registration Act, 1908 mainly deals with records of rights, it makes no mention of the word “title”. The object of this Act was to give publicity to the existing tenures and rights and to minimize disputes (Duffy, 1969). Title to land is determined by Evidence Act, 1872 with reference to deeds and documents executed outside that Act. </w:t>
      </w:r>
    </w:p>
    <w:p w:rsidR="00DA3833" w:rsidRDefault="00DA3833" w:rsidP="001329DC">
      <w:pPr>
        <w:pStyle w:val="NoSpacing"/>
        <w:jc w:val="both"/>
        <w:rPr>
          <w:rFonts w:ascii="Times New Roman" w:hAnsi="Times New Roman" w:cs="Times New Roman"/>
          <w:sz w:val="24"/>
          <w:szCs w:val="24"/>
        </w:rPr>
      </w:pPr>
    </w:p>
    <w:p w:rsidR="00C04404" w:rsidRPr="00ED1C05" w:rsidRDefault="009907CC" w:rsidP="001329DC">
      <w:pPr>
        <w:pStyle w:val="NoSpacing"/>
        <w:jc w:val="both"/>
        <w:rPr>
          <w:rFonts w:ascii="Times New Roman" w:hAnsi="Times New Roman" w:cs="Times New Roman"/>
          <w:sz w:val="24"/>
          <w:szCs w:val="24"/>
        </w:rPr>
      </w:pPr>
      <w:r w:rsidRPr="001329DC">
        <w:rPr>
          <w:rFonts w:ascii="Times New Roman" w:hAnsi="Times New Roman" w:cs="Times New Roman"/>
          <w:sz w:val="24"/>
          <w:szCs w:val="24"/>
        </w:rPr>
        <w:t xml:space="preserve">Title to land cannot be ascertained on the basis of the records of rights on which land acquisition officers depend. These records of rights have little or no relation </w:t>
      </w:r>
      <w:r w:rsidRPr="00ED1C05">
        <w:rPr>
          <w:rFonts w:ascii="Times New Roman" w:hAnsi="Times New Roman" w:cs="Times New Roman"/>
          <w:sz w:val="24"/>
          <w:szCs w:val="24"/>
        </w:rPr>
        <w:t xml:space="preserve">to the title ultimately determined by the </w:t>
      </w:r>
      <w:r w:rsidRPr="00ED1C05">
        <w:rPr>
          <w:rFonts w:ascii="Times New Roman" w:hAnsi="Times New Roman" w:cs="Times New Roman"/>
          <w:sz w:val="24"/>
          <w:szCs w:val="24"/>
        </w:rPr>
        <w:lastRenderedPageBreak/>
        <w:t xml:space="preserve">superior courts. The only remedy available for restoration of rights, after acquisition, is against third parties. The land acquisition officers, vested with the power to acquire land in public interest, are only bound to give compensation as determined under the Land Acquisition Act, 1894. This view has been upheld by the Supreme Court on several occasions. However, the challenge to revenue records is at times entertaining in the revenue courts and in rare cases is also referred to the High </w:t>
      </w:r>
      <w:r w:rsidR="00C04404" w:rsidRPr="00ED1C05">
        <w:rPr>
          <w:rFonts w:ascii="Times New Roman" w:hAnsi="Times New Roman" w:cs="Times New Roman"/>
          <w:sz w:val="24"/>
          <w:szCs w:val="24"/>
        </w:rPr>
        <w:t>Court’s</w:t>
      </w:r>
      <w:r w:rsidRPr="00ED1C05">
        <w:rPr>
          <w:rFonts w:ascii="Times New Roman" w:hAnsi="Times New Roman" w:cs="Times New Roman"/>
          <w:sz w:val="24"/>
          <w:szCs w:val="24"/>
        </w:rPr>
        <w:t xml:space="preserve"> Land acquisition in public interest is regulated by the “The Land Acquisition Act, 1894” and all amendments made therein from time to time. In addition to this Act, the working of the “Delhi Development Act, 1957” which empowers disposal of land in a planned manner and to regulate the use of land can also be mentioned. Eminent domain or the Right of the State to acquire Private property for public use, either with Payment of compensation or without compensation is recognized in all civilized societies. </w:t>
      </w:r>
    </w:p>
    <w:p w:rsidR="001329DC" w:rsidRDefault="001329DC" w:rsidP="001329DC">
      <w:pPr>
        <w:pStyle w:val="NoSpacing"/>
        <w:jc w:val="both"/>
      </w:pPr>
    </w:p>
    <w:p w:rsidR="006E5FF4" w:rsidRPr="001329DC" w:rsidRDefault="009907CC" w:rsidP="001329DC">
      <w:pPr>
        <w:pStyle w:val="NoSpacing"/>
        <w:numPr>
          <w:ilvl w:val="0"/>
          <w:numId w:val="14"/>
        </w:numPr>
        <w:jc w:val="both"/>
        <w:rPr>
          <w:rFonts w:ascii="Times New Roman" w:hAnsi="Times New Roman" w:cs="Times New Roman"/>
          <w:b/>
          <w:bCs/>
          <w:sz w:val="24"/>
          <w:szCs w:val="24"/>
        </w:rPr>
      </w:pPr>
      <w:r w:rsidRPr="001329DC">
        <w:rPr>
          <w:rFonts w:ascii="Times New Roman" w:hAnsi="Times New Roman" w:cs="Times New Roman"/>
          <w:b/>
          <w:bCs/>
          <w:sz w:val="24"/>
          <w:szCs w:val="24"/>
        </w:rPr>
        <w:t>Constitutional Provisions</w:t>
      </w:r>
    </w:p>
    <w:p w:rsidR="006E5FF4" w:rsidRDefault="009907CC" w:rsidP="001329DC">
      <w:pPr>
        <w:pStyle w:val="NoSpacing"/>
        <w:jc w:val="both"/>
        <w:rPr>
          <w:rFonts w:ascii="Times New Roman" w:hAnsi="Times New Roman" w:cs="Times New Roman"/>
          <w:sz w:val="24"/>
          <w:szCs w:val="24"/>
        </w:rPr>
      </w:pPr>
      <w:r w:rsidRPr="001329DC">
        <w:rPr>
          <w:rFonts w:ascii="Times New Roman" w:hAnsi="Times New Roman" w:cs="Times New Roman"/>
          <w:sz w:val="24"/>
          <w:szCs w:val="24"/>
        </w:rPr>
        <w:t xml:space="preserve">The power of eminent domain is inherently legislative and cannot be delegated by the legislature to any other branch of government or specially constituted tribunal. Nevertheless, circumstances in which a governing body deems it necessary and expedient to acquire property under the power of eminent domain giving rise to questions of discretion are frequently so classic that they have acquired a popular folkloric mystique. In every case where this need arises, the governing body must take, consider and weigh the facts objectively and impartially so far as it possesses that capacity, as a court does in passing on such questions. At some point in time it must exercise that </w:t>
      </w:r>
      <w:r w:rsidRPr="001329DC">
        <w:rPr>
          <w:rFonts w:ascii="Times New Roman" w:hAnsi="Times New Roman" w:cs="Times New Roman"/>
          <w:sz w:val="24"/>
          <w:szCs w:val="24"/>
        </w:rPr>
        <w:lastRenderedPageBreak/>
        <w:t>discretion freely, consciously and according to some generally accepted standard of reasonableness (Duffy, 1969).</w:t>
      </w:r>
    </w:p>
    <w:p w:rsidR="00074E8E" w:rsidRDefault="00074E8E" w:rsidP="001329DC">
      <w:pPr>
        <w:pStyle w:val="NoSpacing"/>
        <w:jc w:val="both"/>
        <w:rPr>
          <w:rFonts w:ascii="Times New Roman" w:hAnsi="Times New Roman" w:cs="Times New Roman"/>
          <w:sz w:val="24"/>
          <w:szCs w:val="24"/>
        </w:rPr>
      </w:pPr>
    </w:p>
    <w:p w:rsidR="00C11032" w:rsidRDefault="00C11032" w:rsidP="001329DC">
      <w:pPr>
        <w:pStyle w:val="NoSpacing"/>
        <w:jc w:val="both"/>
        <w:rPr>
          <w:rFonts w:ascii="Times New Roman" w:hAnsi="Times New Roman" w:cs="Times New Roman"/>
          <w:sz w:val="24"/>
          <w:szCs w:val="24"/>
        </w:rPr>
      </w:pPr>
    </w:p>
    <w:p w:rsidR="006E5FF4" w:rsidRPr="00074E8E" w:rsidRDefault="009907CC" w:rsidP="00074E8E">
      <w:pPr>
        <w:pStyle w:val="NoSpacing"/>
        <w:numPr>
          <w:ilvl w:val="0"/>
          <w:numId w:val="14"/>
        </w:numPr>
        <w:jc w:val="both"/>
        <w:rPr>
          <w:rFonts w:ascii="Times New Roman" w:hAnsi="Times New Roman" w:cs="Times New Roman"/>
          <w:b/>
          <w:bCs/>
          <w:sz w:val="24"/>
          <w:szCs w:val="24"/>
        </w:rPr>
      </w:pPr>
      <w:r w:rsidRPr="00074E8E">
        <w:rPr>
          <w:rFonts w:ascii="Times New Roman" w:hAnsi="Times New Roman" w:cs="Times New Roman"/>
          <w:b/>
          <w:bCs/>
          <w:sz w:val="24"/>
          <w:szCs w:val="24"/>
        </w:rPr>
        <w:t>Statutory Regulations</w:t>
      </w:r>
    </w:p>
    <w:p w:rsidR="006E5FF4" w:rsidRDefault="009907CC" w:rsidP="00074E8E">
      <w:pPr>
        <w:pStyle w:val="NoSpacing"/>
        <w:jc w:val="both"/>
        <w:rPr>
          <w:rFonts w:ascii="Times New Roman" w:hAnsi="Times New Roman" w:cs="Times New Roman"/>
          <w:sz w:val="24"/>
          <w:szCs w:val="24"/>
        </w:rPr>
      </w:pPr>
      <w:r w:rsidRPr="00074E8E">
        <w:rPr>
          <w:rFonts w:ascii="Times New Roman" w:hAnsi="Times New Roman" w:cs="Times New Roman"/>
          <w:sz w:val="24"/>
          <w:szCs w:val="24"/>
        </w:rPr>
        <w:t>The constitutional, statutory, and judicial framework for eminent domain practices has seen amendments, though certain policies have been in place since independence. The acquisition of land for a public purpose is the first stage of the process, and any appropriation must necessarily be for public purpose to be valid. Further, at this stage of acquisition, it is only necessary to be satisfied about the existence of a public purpose and inconveniences which may arise need not be examined. The practice of eminent domain can be broadly classified into compulsory and voluntary acquisition of land. For compulsory acquisition, another stage is added to protect the interests of the landowners, where valuation of land is finalized.</w:t>
      </w:r>
    </w:p>
    <w:p w:rsidR="00074E8E" w:rsidRPr="00074E8E" w:rsidRDefault="00074E8E" w:rsidP="00074E8E">
      <w:pPr>
        <w:pStyle w:val="NoSpacing"/>
        <w:jc w:val="both"/>
        <w:rPr>
          <w:rFonts w:ascii="Times New Roman" w:hAnsi="Times New Roman" w:cs="Times New Roman"/>
          <w:sz w:val="24"/>
          <w:szCs w:val="24"/>
        </w:rPr>
      </w:pPr>
    </w:p>
    <w:p w:rsidR="006E5FF4" w:rsidRDefault="009907CC" w:rsidP="00074E8E">
      <w:pPr>
        <w:pStyle w:val="NoSpacing"/>
        <w:rPr>
          <w:rFonts w:ascii="Times New Roman" w:hAnsi="Times New Roman" w:cs="Times New Roman"/>
          <w:sz w:val="24"/>
          <w:szCs w:val="24"/>
        </w:rPr>
      </w:pPr>
      <w:r w:rsidRPr="00074E8E">
        <w:rPr>
          <w:rFonts w:ascii="Times New Roman" w:hAnsi="Times New Roman" w:cs="Times New Roman"/>
          <w:sz w:val="24"/>
          <w:szCs w:val="24"/>
        </w:rPr>
        <w:t>A full-scale debate can ensue before a firm conclusion has been reached on the quantum of compensation. The award of compensation rests with the arbitrator, who must be independent and impartial. The Fair Compensation Act is designed as a comprehensive measure for land compensation on a global scale. If the project or land involves any exemptions from the act, this must be specified at the outset. The provisions exempting small or less than marginal hazard projects must be specified. All projects related to forests, environment, wildlife sanctuary, and others of similar nature must be filed for paramount review.</w:t>
      </w:r>
    </w:p>
    <w:p w:rsidR="00537D09" w:rsidRDefault="00537D09" w:rsidP="00074E8E">
      <w:pPr>
        <w:pStyle w:val="NoSpacing"/>
        <w:rPr>
          <w:rFonts w:ascii="Times New Roman" w:hAnsi="Times New Roman" w:cs="Times New Roman"/>
          <w:sz w:val="24"/>
          <w:szCs w:val="24"/>
        </w:rPr>
      </w:pPr>
    </w:p>
    <w:p w:rsidR="00537D09" w:rsidRDefault="00537D09" w:rsidP="00074E8E">
      <w:pPr>
        <w:pStyle w:val="NoSpacing"/>
        <w:rPr>
          <w:rFonts w:ascii="Times New Roman" w:hAnsi="Times New Roman" w:cs="Times New Roman"/>
          <w:sz w:val="24"/>
          <w:szCs w:val="24"/>
        </w:rPr>
      </w:pPr>
    </w:p>
    <w:p w:rsidR="00074E8E" w:rsidRPr="00074E8E" w:rsidRDefault="00074E8E" w:rsidP="00074E8E">
      <w:pPr>
        <w:pStyle w:val="NoSpacing"/>
        <w:rPr>
          <w:rFonts w:ascii="Times New Roman" w:hAnsi="Times New Roman" w:cs="Times New Roman"/>
          <w:sz w:val="24"/>
          <w:szCs w:val="24"/>
        </w:rPr>
      </w:pPr>
    </w:p>
    <w:p w:rsidR="006E5FF4" w:rsidRPr="00074E8E" w:rsidRDefault="009907CC" w:rsidP="00074E8E">
      <w:pPr>
        <w:pStyle w:val="NoSpacing"/>
        <w:numPr>
          <w:ilvl w:val="0"/>
          <w:numId w:val="14"/>
        </w:numPr>
        <w:jc w:val="both"/>
        <w:rPr>
          <w:rFonts w:ascii="Times New Roman" w:hAnsi="Times New Roman" w:cs="Times New Roman"/>
          <w:b/>
          <w:bCs/>
          <w:sz w:val="24"/>
          <w:szCs w:val="24"/>
        </w:rPr>
      </w:pPr>
      <w:r w:rsidRPr="00074E8E">
        <w:rPr>
          <w:rFonts w:ascii="Times New Roman" w:hAnsi="Times New Roman" w:cs="Times New Roman"/>
          <w:b/>
          <w:bCs/>
          <w:sz w:val="24"/>
          <w:szCs w:val="24"/>
        </w:rPr>
        <w:lastRenderedPageBreak/>
        <w:t>Defining Fair Compensation</w:t>
      </w:r>
    </w:p>
    <w:p w:rsidR="006E5FF4" w:rsidRDefault="009907CC" w:rsidP="00074E8E">
      <w:pPr>
        <w:pStyle w:val="NoSpacing"/>
        <w:jc w:val="both"/>
      </w:pPr>
      <w:r w:rsidRPr="00074E8E">
        <w:rPr>
          <w:rFonts w:ascii="Times New Roman" w:hAnsi="Times New Roman" w:cs="Times New Roman"/>
          <w:sz w:val="24"/>
          <w:szCs w:val="24"/>
        </w:rPr>
        <w:t>In public takings of private property, the compensation to which a property owner is entitled has been one of the most contentious issues faced by the courts. On the one hand, estimates of the value of the property taken in the condemnation must be risked, but on the other, the fear must be entertained that the settled true value, as computed from the existing evidence and any further evidence which might be adduced, is far from the mark. To some extent, all the factors entering into a valuation of property in condemnation also</w:t>
      </w:r>
      <w:r w:rsidRPr="00C04404">
        <w:t xml:space="preserve"> enter into a consideration of the proper method of arriving at compensation, if, indeed, 'compensation' is not the common denominator of both inquiries. In either event there have been underlying in the opposite views the same premises; accordingly, the problem of damages in eminent domain proceedings is a unit. The problem is a logical one, although some of its aspects are more susceptible of mathematical treatment than are others. The problem of finding compensation in eminent domain proceedings necessarily deflects into the more specialized problem of how the question of compensation is to be determined.</w:t>
      </w:r>
    </w:p>
    <w:p w:rsidR="00074E8E" w:rsidRPr="00C04404" w:rsidRDefault="00074E8E" w:rsidP="00074E8E">
      <w:pPr>
        <w:pStyle w:val="NoSpacing"/>
        <w:jc w:val="both"/>
      </w:pPr>
    </w:p>
    <w:p w:rsidR="008F705B" w:rsidRDefault="009907CC" w:rsidP="00074E8E">
      <w:pPr>
        <w:pStyle w:val="NoSpacing"/>
        <w:jc w:val="both"/>
        <w:rPr>
          <w:rFonts w:ascii="Times New Roman" w:hAnsi="Times New Roman" w:cs="Times New Roman"/>
          <w:sz w:val="24"/>
          <w:szCs w:val="24"/>
        </w:rPr>
      </w:pPr>
      <w:r w:rsidRPr="00074E8E">
        <w:rPr>
          <w:rFonts w:ascii="Times New Roman" w:hAnsi="Times New Roman" w:cs="Times New Roman"/>
          <w:sz w:val="24"/>
          <w:szCs w:val="24"/>
        </w:rPr>
        <w:t xml:space="preserve">The emphasis here will accordingly be on the “defining” phase of the problem of damages in eminent domain proceedings. Some of the issues which are characteristic of the “fixing” phase will be touched on in order to illustrate the complex relations attendant upon the basic problem which is sought to be delineated. In the beginning, it is necessary to grapple with this confusion. </w:t>
      </w:r>
    </w:p>
    <w:p w:rsidR="00074E8E" w:rsidRPr="00074E8E" w:rsidRDefault="00074E8E" w:rsidP="00074E8E">
      <w:pPr>
        <w:pStyle w:val="NoSpacing"/>
        <w:jc w:val="both"/>
        <w:rPr>
          <w:rFonts w:ascii="Times New Roman" w:hAnsi="Times New Roman" w:cs="Times New Roman"/>
          <w:sz w:val="24"/>
          <w:szCs w:val="24"/>
        </w:rPr>
      </w:pPr>
    </w:p>
    <w:p w:rsidR="006E5FF4" w:rsidRPr="00074E8E" w:rsidRDefault="009907CC" w:rsidP="00074E8E">
      <w:pPr>
        <w:pStyle w:val="NoSpacing"/>
        <w:numPr>
          <w:ilvl w:val="0"/>
          <w:numId w:val="14"/>
        </w:numPr>
        <w:jc w:val="both"/>
        <w:rPr>
          <w:rFonts w:ascii="Times New Roman" w:hAnsi="Times New Roman" w:cs="Times New Roman"/>
          <w:b/>
          <w:bCs/>
          <w:sz w:val="24"/>
          <w:szCs w:val="24"/>
        </w:rPr>
      </w:pPr>
      <w:r w:rsidRPr="00074E8E">
        <w:rPr>
          <w:rFonts w:ascii="Times New Roman" w:hAnsi="Times New Roman" w:cs="Times New Roman"/>
          <w:b/>
          <w:bCs/>
          <w:sz w:val="24"/>
          <w:szCs w:val="24"/>
        </w:rPr>
        <w:t>Market Value vs. Fair Value</w:t>
      </w:r>
    </w:p>
    <w:p w:rsidR="006E5FF4" w:rsidRDefault="009907CC" w:rsidP="00074E8E">
      <w:pPr>
        <w:pStyle w:val="NoSpacing"/>
        <w:jc w:val="both"/>
        <w:rPr>
          <w:rFonts w:ascii="Times New Roman" w:hAnsi="Times New Roman" w:cs="Times New Roman"/>
          <w:sz w:val="24"/>
          <w:szCs w:val="24"/>
        </w:rPr>
      </w:pPr>
      <w:r w:rsidRPr="00074E8E">
        <w:rPr>
          <w:rFonts w:ascii="Times New Roman" w:hAnsi="Times New Roman" w:cs="Times New Roman"/>
          <w:sz w:val="24"/>
          <w:szCs w:val="24"/>
        </w:rPr>
        <w:t xml:space="preserve">At issue in Kelo was the taking of property for economic development purposes pursuant to Connecticut and </w:t>
      </w:r>
      <w:r w:rsidRPr="00074E8E">
        <w:rPr>
          <w:rFonts w:ascii="Times New Roman" w:hAnsi="Times New Roman" w:cs="Times New Roman"/>
          <w:sz w:val="24"/>
          <w:szCs w:val="24"/>
        </w:rPr>
        <w:lastRenderedPageBreak/>
        <w:t>New London’s economic development-authorizing statute. Specifically, Connecticut statute G.C. § 8-124 permitted a municipality to take property “for the purpose of promoting the general welfare of the community thr</w:t>
      </w:r>
      <w:r w:rsidR="00C04404" w:rsidRPr="00074E8E">
        <w:rPr>
          <w:rFonts w:ascii="Times New Roman" w:hAnsi="Times New Roman" w:cs="Times New Roman"/>
          <w:sz w:val="24"/>
          <w:szCs w:val="24"/>
        </w:rPr>
        <w:t xml:space="preserve">ough appropriate … development”. </w:t>
      </w:r>
      <w:r w:rsidRPr="00074E8E">
        <w:rPr>
          <w:rFonts w:ascii="Times New Roman" w:hAnsi="Times New Roman" w:cs="Times New Roman"/>
          <w:sz w:val="24"/>
          <w:szCs w:val="24"/>
        </w:rPr>
        <w:t>The challenge to the taking alleged that the taking was not for a public use as required under the Fifth Amendment.</w:t>
      </w:r>
    </w:p>
    <w:p w:rsidR="00074E8E" w:rsidRPr="00074E8E" w:rsidRDefault="00074E8E" w:rsidP="00074E8E">
      <w:pPr>
        <w:pStyle w:val="NoSpacing"/>
        <w:jc w:val="both"/>
        <w:rPr>
          <w:rFonts w:ascii="Times New Roman" w:hAnsi="Times New Roman" w:cs="Times New Roman"/>
          <w:sz w:val="24"/>
          <w:szCs w:val="24"/>
        </w:rPr>
      </w:pPr>
    </w:p>
    <w:p w:rsidR="006E5FF4" w:rsidRDefault="009907CC" w:rsidP="00074E8E">
      <w:pPr>
        <w:pStyle w:val="NoSpacing"/>
        <w:jc w:val="both"/>
        <w:rPr>
          <w:rFonts w:ascii="Times New Roman" w:hAnsi="Times New Roman" w:cs="Times New Roman"/>
          <w:sz w:val="24"/>
          <w:szCs w:val="24"/>
        </w:rPr>
      </w:pPr>
      <w:r w:rsidRPr="00074E8E">
        <w:rPr>
          <w:rFonts w:ascii="Times New Roman" w:hAnsi="Times New Roman" w:cs="Times New Roman"/>
          <w:sz w:val="24"/>
          <w:szCs w:val="24"/>
        </w:rPr>
        <w:t>The incorporation of the public use requirement into state law by the Fourteenth Amendment through the Due Process Clause led to a pre-Fourteenth Amendment scholars’ race between the U.S. Supreme Court and state supreme courts. The latter introduced several protections not present in the text of the Takings Clause. Given the roots of eminent domain law, the concerns of states over its private application ought to be taken seriously. However, the U.S. Supreme Court concluded in Kelo that a public benefit is sufficient to satisfy the public use requirement and that “the precise issue is best left to the determination of the states” (Duffy, 1969). As a result, the Court has now largely removed itself from the eminent domain arena.</w:t>
      </w:r>
    </w:p>
    <w:p w:rsidR="00074E8E" w:rsidRPr="00074E8E" w:rsidRDefault="00074E8E" w:rsidP="00074E8E">
      <w:pPr>
        <w:pStyle w:val="NoSpacing"/>
        <w:jc w:val="both"/>
        <w:rPr>
          <w:rFonts w:ascii="Times New Roman" w:hAnsi="Times New Roman" w:cs="Times New Roman"/>
          <w:sz w:val="24"/>
          <w:szCs w:val="24"/>
        </w:rPr>
      </w:pPr>
    </w:p>
    <w:p w:rsidR="006E5FF4" w:rsidRDefault="009907CC" w:rsidP="00074E8E">
      <w:pPr>
        <w:pStyle w:val="NoSpacing"/>
        <w:jc w:val="both"/>
        <w:rPr>
          <w:rFonts w:ascii="Times New Roman" w:hAnsi="Times New Roman" w:cs="Times New Roman"/>
          <w:sz w:val="24"/>
          <w:szCs w:val="24"/>
        </w:rPr>
      </w:pPr>
      <w:r w:rsidRPr="00074E8E">
        <w:rPr>
          <w:rFonts w:ascii="Times New Roman" w:hAnsi="Times New Roman" w:cs="Times New Roman"/>
          <w:sz w:val="24"/>
          <w:szCs w:val="24"/>
        </w:rPr>
        <w:t xml:space="preserve">In Kelo, it was not whether economic development takings were a good idea or whether any state ought to be able to incorporate market value into its public use requirements; instead, it was what a state could do with its public use requirements. In cases of unfairness arising out of particular application of this broad public benefit standard, there are likely few solutions available within the law. Given the immediacy of Kelo’s future effects—those interested in the broader use of eminent domain would ideally work to prevent similar cases </w:t>
      </w:r>
      <w:r w:rsidRPr="00074E8E">
        <w:rPr>
          <w:rFonts w:ascii="Times New Roman" w:hAnsi="Times New Roman" w:cs="Times New Roman"/>
          <w:sz w:val="24"/>
          <w:szCs w:val="24"/>
        </w:rPr>
        <w:lastRenderedPageBreak/>
        <w:t>from being decided again—it would be wise to do so while the hard questions of the mechanisms of review and the grounds for excess are still a real possibility. If Kelo proves surgically applicable, there will be murky doctrinal waters both leading to its completion and once the full implications of its rule are felt.</w:t>
      </w:r>
    </w:p>
    <w:p w:rsidR="00074E8E" w:rsidRPr="00074E8E" w:rsidRDefault="00074E8E" w:rsidP="00074E8E">
      <w:pPr>
        <w:pStyle w:val="NoSpacing"/>
        <w:jc w:val="both"/>
        <w:rPr>
          <w:rFonts w:ascii="Times New Roman" w:hAnsi="Times New Roman" w:cs="Times New Roman"/>
          <w:sz w:val="24"/>
          <w:szCs w:val="24"/>
        </w:rPr>
      </w:pPr>
    </w:p>
    <w:p w:rsidR="006E5FF4" w:rsidRPr="00074E8E" w:rsidRDefault="009907CC" w:rsidP="00074E8E">
      <w:pPr>
        <w:pStyle w:val="NoSpacing"/>
        <w:numPr>
          <w:ilvl w:val="0"/>
          <w:numId w:val="14"/>
        </w:numPr>
        <w:jc w:val="both"/>
        <w:rPr>
          <w:rFonts w:ascii="Times New Roman" w:hAnsi="Times New Roman" w:cs="Times New Roman"/>
          <w:b/>
          <w:bCs/>
          <w:sz w:val="24"/>
          <w:szCs w:val="24"/>
        </w:rPr>
      </w:pPr>
      <w:r w:rsidRPr="00074E8E">
        <w:rPr>
          <w:rFonts w:ascii="Times New Roman" w:hAnsi="Times New Roman" w:cs="Times New Roman"/>
          <w:b/>
          <w:bCs/>
          <w:sz w:val="24"/>
          <w:szCs w:val="24"/>
        </w:rPr>
        <w:t>Judicial Interpretation of Fair Compensation</w:t>
      </w:r>
    </w:p>
    <w:p w:rsidR="006E5FF4" w:rsidRDefault="009907CC" w:rsidP="00074E8E">
      <w:pPr>
        <w:pStyle w:val="NoSpacing"/>
        <w:jc w:val="both"/>
        <w:rPr>
          <w:rFonts w:ascii="Times New Roman" w:hAnsi="Times New Roman" w:cs="Times New Roman"/>
          <w:sz w:val="24"/>
          <w:szCs w:val="24"/>
        </w:rPr>
      </w:pPr>
      <w:r w:rsidRPr="00074E8E">
        <w:rPr>
          <w:rFonts w:ascii="Times New Roman" w:hAnsi="Times New Roman" w:cs="Times New Roman"/>
          <w:sz w:val="24"/>
          <w:szCs w:val="24"/>
        </w:rPr>
        <w:t>In any American case involving the eminent domain acquisition of property, the number one question posed by the property owner to the lawyer, and the number one question invariably answered by the lawyer, is “How much do they have to pay?” Unless the case is so shockingly lopsided as to invite frontal attack on the entire acquisition, or unless a statutory or regulatory defense presents itself, the involved parties will ultimately negotiate or engage in a fight over money: Some “just c</w:t>
      </w:r>
      <w:r w:rsidR="008F705B" w:rsidRPr="00074E8E">
        <w:rPr>
          <w:rFonts w:ascii="Times New Roman" w:hAnsi="Times New Roman" w:cs="Times New Roman"/>
          <w:sz w:val="24"/>
          <w:szCs w:val="24"/>
        </w:rPr>
        <w:t>ompensation” must be determined</w:t>
      </w:r>
      <w:r w:rsidRPr="00074E8E">
        <w:rPr>
          <w:rFonts w:ascii="Times New Roman" w:hAnsi="Times New Roman" w:cs="Times New Roman"/>
          <w:sz w:val="24"/>
          <w:szCs w:val="24"/>
        </w:rPr>
        <w:t>. If compensation is to be viewed as “just,” it becomes apparent that judicial scrutiny of actual compensation awards is more attuned to symbolic considerations than to the calculation of rights. Thus, the first step in undertaking an analysis of compensation awards is to disaggregate the award amounts and look at them individually and with a razor.</w:t>
      </w:r>
    </w:p>
    <w:p w:rsidR="00074E8E" w:rsidRPr="00074E8E" w:rsidRDefault="00074E8E" w:rsidP="00074E8E">
      <w:pPr>
        <w:pStyle w:val="NoSpacing"/>
        <w:jc w:val="both"/>
        <w:rPr>
          <w:rFonts w:ascii="Times New Roman" w:hAnsi="Times New Roman" w:cs="Times New Roman"/>
          <w:sz w:val="24"/>
          <w:szCs w:val="24"/>
        </w:rPr>
      </w:pPr>
    </w:p>
    <w:p w:rsidR="006E5FF4" w:rsidRPr="00074E8E" w:rsidRDefault="00241D64" w:rsidP="002F799D">
      <w:pPr>
        <w:pStyle w:val="NoSpacing"/>
        <w:numPr>
          <w:ilvl w:val="0"/>
          <w:numId w:val="14"/>
        </w:numPr>
        <w:jc w:val="both"/>
        <w:rPr>
          <w:rFonts w:ascii="Times New Roman" w:hAnsi="Times New Roman" w:cs="Times New Roman"/>
          <w:b/>
          <w:bCs/>
          <w:sz w:val="24"/>
          <w:szCs w:val="24"/>
        </w:rPr>
      </w:pPr>
      <w:r w:rsidRPr="00074E8E">
        <w:rPr>
          <w:rFonts w:ascii="Times New Roman" w:hAnsi="Times New Roman" w:cs="Times New Roman"/>
          <w:b/>
          <w:bCs/>
          <w:sz w:val="24"/>
          <w:szCs w:val="24"/>
        </w:rPr>
        <w:t xml:space="preserve"> Landmark</w:t>
      </w:r>
      <w:r w:rsidR="009907CC" w:rsidRPr="00074E8E">
        <w:rPr>
          <w:rFonts w:ascii="Times New Roman" w:hAnsi="Times New Roman" w:cs="Times New Roman"/>
          <w:b/>
          <w:bCs/>
          <w:sz w:val="24"/>
          <w:szCs w:val="24"/>
        </w:rPr>
        <w:t xml:space="preserve"> Cases</w:t>
      </w:r>
    </w:p>
    <w:p w:rsidR="00ED1C05" w:rsidRDefault="009907CC" w:rsidP="00074E8E">
      <w:pPr>
        <w:pStyle w:val="NoSpacing"/>
        <w:jc w:val="both"/>
        <w:rPr>
          <w:rFonts w:ascii="Times New Roman" w:hAnsi="Times New Roman" w:cs="Times New Roman"/>
          <w:sz w:val="24"/>
          <w:szCs w:val="24"/>
        </w:rPr>
      </w:pPr>
      <w:r w:rsidRPr="00074E8E">
        <w:rPr>
          <w:rFonts w:ascii="Times New Roman" w:hAnsi="Times New Roman" w:cs="Times New Roman"/>
          <w:sz w:val="24"/>
          <w:szCs w:val="24"/>
        </w:rPr>
        <w:t xml:space="preserve">The foundation of property law and the reason why it is recorded at all stems from the ability of the legislature to take property for the public good. Often at odds with property owners is the eminent domain power of the state. The justifications and limits on that power have long been debated in the courts, </w:t>
      </w:r>
      <w:r w:rsidRPr="00074E8E">
        <w:rPr>
          <w:rFonts w:ascii="Times New Roman" w:hAnsi="Times New Roman" w:cs="Times New Roman"/>
          <w:sz w:val="24"/>
          <w:szCs w:val="24"/>
        </w:rPr>
        <w:lastRenderedPageBreak/>
        <w:t xml:space="preserve">legislatures, and town halls. While the right to property is one of the bedrock rights in the Western tradition, it is burdened with limitations, the most significant of which is the right of the government to take it from an owner for the public good. </w:t>
      </w:r>
    </w:p>
    <w:p w:rsidR="00ED1C05" w:rsidRDefault="00ED1C05" w:rsidP="00074E8E">
      <w:pPr>
        <w:pStyle w:val="NoSpacing"/>
        <w:jc w:val="both"/>
        <w:rPr>
          <w:rFonts w:ascii="Times New Roman" w:hAnsi="Times New Roman" w:cs="Times New Roman"/>
          <w:sz w:val="24"/>
          <w:szCs w:val="24"/>
        </w:rPr>
      </w:pPr>
    </w:p>
    <w:p w:rsidR="008F705B" w:rsidRDefault="009907CC" w:rsidP="00074E8E">
      <w:pPr>
        <w:pStyle w:val="NoSpacing"/>
        <w:jc w:val="both"/>
        <w:rPr>
          <w:rFonts w:ascii="Times New Roman" w:hAnsi="Times New Roman" w:cs="Times New Roman"/>
          <w:sz w:val="24"/>
          <w:szCs w:val="24"/>
        </w:rPr>
      </w:pPr>
      <w:r w:rsidRPr="00074E8E">
        <w:rPr>
          <w:rFonts w:ascii="Times New Roman" w:hAnsi="Times New Roman" w:cs="Times New Roman"/>
          <w:sz w:val="24"/>
          <w:szCs w:val="24"/>
        </w:rPr>
        <w:t xml:space="preserve">The public good justification for taking property was consciously and studiously restricted by belabored language in the 5th Amendment to cover only the well-defined takings for public use, for which just compensation had to be paid. Therefore, alone of all rights in the Bill of Rights, it was put beyond legislative, administrative, or executive concern. All land use regulation must at least facially satisfy the constitutional conditions guaranteeing even some compensation after a taking. Still, massive takings in the interest of redevelopment and general public improvement arose and began to be codified in the late 1800s. </w:t>
      </w:r>
    </w:p>
    <w:p w:rsidR="00074E8E" w:rsidRPr="00074E8E" w:rsidRDefault="00074E8E" w:rsidP="00074E8E">
      <w:pPr>
        <w:pStyle w:val="NoSpacing"/>
        <w:jc w:val="both"/>
        <w:rPr>
          <w:rFonts w:ascii="Times New Roman" w:hAnsi="Times New Roman" w:cs="Times New Roman"/>
          <w:sz w:val="24"/>
          <w:szCs w:val="24"/>
        </w:rPr>
      </w:pPr>
    </w:p>
    <w:p w:rsidR="006E5FF4" w:rsidRPr="00074E8E" w:rsidRDefault="009907CC" w:rsidP="00074E8E">
      <w:pPr>
        <w:pStyle w:val="NoSpacing"/>
        <w:numPr>
          <w:ilvl w:val="0"/>
          <w:numId w:val="15"/>
        </w:numPr>
        <w:jc w:val="both"/>
        <w:rPr>
          <w:rFonts w:ascii="Times New Roman" w:hAnsi="Times New Roman" w:cs="Times New Roman"/>
          <w:b/>
          <w:bCs/>
          <w:sz w:val="24"/>
          <w:szCs w:val="24"/>
        </w:rPr>
      </w:pPr>
      <w:r w:rsidRPr="00074E8E">
        <w:rPr>
          <w:rFonts w:ascii="Times New Roman" w:hAnsi="Times New Roman" w:cs="Times New Roman"/>
          <w:b/>
          <w:bCs/>
          <w:sz w:val="24"/>
          <w:szCs w:val="24"/>
        </w:rPr>
        <w:t>Challenges in the Eminent Domain Process</w:t>
      </w:r>
    </w:p>
    <w:p w:rsidR="00DA3833" w:rsidRDefault="009907CC" w:rsidP="00074E8E">
      <w:pPr>
        <w:pStyle w:val="NoSpacing"/>
        <w:jc w:val="both"/>
        <w:rPr>
          <w:rFonts w:ascii="Times New Roman" w:hAnsi="Times New Roman" w:cs="Times New Roman"/>
          <w:sz w:val="24"/>
          <w:szCs w:val="24"/>
        </w:rPr>
      </w:pPr>
      <w:r w:rsidRPr="00074E8E">
        <w:rPr>
          <w:rFonts w:ascii="Times New Roman" w:hAnsi="Times New Roman" w:cs="Times New Roman"/>
          <w:sz w:val="24"/>
          <w:szCs w:val="24"/>
        </w:rPr>
        <w:t>The eminent domain process has been the subject of considerable debate since the dawn of the American republic. A multitude of opinions surround it due to differing views as to its consequences both good and bad. Generally speaking, these voices fall into two categories: those who believe the consequences are dire and have raised legal challenges to the process; and those who, while noting areas of concern in need of correction, nevertheless believe the process is essentia</w:t>
      </w:r>
      <w:r w:rsidR="008F705B" w:rsidRPr="00074E8E">
        <w:rPr>
          <w:rFonts w:ascii="Times New Roman" w:hAnsi="Times New Roman" w:cs="Times New Roman"/>
          <w:sz w:val="24"/>
          <w:szCs w:val="24"/>
        </w:rPr>
        <w:t>l to the workings of government</w:t>
      </w:r>
      <w:r w:rsidRPr="00074E8E">
        <w:rPr>
          <w:rFonts w:ascii="Times New Roman" w:hAnsi="Times New Roman" w:cs="Times New Roman"/>
          <w:sz w:val="24"/>
          <w:szCs w:val="24"/>
        </w:rPr>
        <w:t xml:space="preserve">. </w:t>
      </w:r>
    </w:p>
    <w:p w:rsidR="00DA3833" w:rsidRDefault="00DA3833" w:rsidP="00074E8E">
      <w:pPr>
        <w:pStyle w:val="NoSpacing"/>
        <w:jc w:val="both"/>
        <w:rPr>
          <w:rFonts w:ascii="Times New Roman" w:hAnsi="Times New Roman" w:cs="Times New Roman"/>
          <w:sz w:val="24"/>
          <w:szCs w:val="24"/>
        </w:rPr>
      </w:pPr>
    </w:p>
    <w:p w:rsidR="00DA3833" w:rsidRDefault="009907CC" w:rsidP="00074E8E">
      <w:pPr>
        <w:pStyle w:val="NoSpacing"/>
        <w:jc w:val="both"/>
        <w:rPr>
          <w:rFonts w:ascii="Times New Roman" w:hAnsi="Times New Roman" w:cs="Times New Roman"/>
          <w:sz w:val="24"/>
          <w:szCs w:val="24"/>
        </w:rPr>
      </w:pPr>
      <w:r w:rsidRPr="00074E8E">
        <w:rPr>
          <w:rFonts w:ascii="Times New Roman" w:hAnsi="Times New Roman" w:cs="Times New Roman"/>
          <w:sz w:val="24"/>
          <w:szCs w:val="24"/>
        </w:rPr>
        <w:t>There are those who contend that the process is operating sufficiently well because the principal, overriding c</w:t>
      </w:r>
      <w:r w:rsidR="00DA3833">
        <w:rPr>
          <w:rFonts w:ascii="Times New Roman" w:hAnsi="Times New Roman" w:cs="Times New Roman"/>
          <w:sz w:val="24"/>
          <w:szCs w:val="24"/>
        </w:rPr>
        <w:t xml:space="preserve">oncern abuses of eminent domain </w:t>
      </w:r>
      <w:r w:rsidRPr="00074E8E">
        <w:rPr>
          <w:rFonts w:ascii="Times New Roman" w:hAnsi="Times New Roman" w:cs="Times New Roman"/>
          <w:sz w:val="24"/>
          <w:szCs w:val="24"/>
        </w:rPr>
        <w:t xml:space="preserve">has been all but obviated by the Supreme </w:t>
      </w:r>
      <w:r w:rsidRPr="00074E8E">
        <w:rPr>
          <w:rFonts w:ascii="Times New Roman" w:hAnsi="Times New Roman" w:cs="Times New Roman"/>
          <w:sz w:val="24"/>
          <w:szCs w:val="24"/>
        </w:rPr>
        <w:lastRenderedPageBreak/>
        <w:t xml:space="preserve">Court’s decision in Kelo v. New London. </w:t>
      </w:r>
    </w:p>
    <w:p w:rsidR="00DA3833" w:rsidRDefault="00DA3833" w:rsidP="00074E8E">
      <w:pPr>
        <w:pStyle w:val="NoSpacing"/>
        <w:jc w:val="both"/>
        <w:rPr>
          <w:rFonts w:ascii="Times New Roman" w:hAnsi="Times New Roman" w:cs="Times New Roman"/>
          <w:sz w:val="24"/>
          <w:szCs w:val="24"/>
        </w:rPr>
      </w:pPr>
    </w:p>
    <w:p w:rsidR="006E5FF4" w:rsidRDefault="009907CC" w:rsidP="00074E8E">
      <w:pPr>
        <w:pStyle w:val="NoSpacing"/>
        <w:jc w:val="both"/>
        <w:rPr>
          <w:rFonts w:ascii="Times New Roman" w:hAnsi="Times New Roman" w:cs="Times New Roman"/>
          <w:sz w:val="24"/>
          <w:szCs w:val="24"/>
        </w:rPr>
      </w:pPr>
      <w:r w:rsidRPr="00074E8E">
        <w:rPr>
          <w:rFonts w:ascii="Times New Roman" w:hAnsi="Times New Roman" w:cs="Times New Roman"/>
          <w:sz w:val="24"/>
          <w:szCs w:val="24"/>
        </w:rPr>
        <w:t>Such assurances notwithstanding, there remain questions of process and prime issues of personnel unsatisfactorily resolved or, more appropriately, not yet essayed in any depth. These concerns are foregrounded here along with suggestions for correcting process issues, some of which are quite contemplative in nature.</w:t>
      </w:r>
    </w:p>
    <w:p w:rsidR="00074E8E" w:rsidRPr="00074E8E" w:rsidRDefault="00074E8E" w:rsidP="00074E8E">
      <w:pPr>
        <w:pStyle w:val="NoSpacing"/>
        <w:jc w:val="both"/>
        <w:rPr>
          <w:rFonts w:ascii="Times New Roman" w:hAnsi="Times New Roman" w:cs="Times New Roman"/>
          <w:sz w:val="24"/>
          <w:szCs w:val="24"/>
        </w:rPr>
      </w:pPr>
    </w:p>
    <w:p w:rsidR="006E5FF4" w:rsidRPr="00074E8E" w:rsidRDefault="009907CC" w:rsidP="00074E8E">
      <w:pPr>
        <w:pStyle w:val="NoSpacing"/>
        <w:numPr>
          <w:ilvl w:val="0"/>
          <w:numId w:val="15"/>
        </w:numPr>
        <w:jc w:val="both"/>
        <w:rPr>
          <w:rFonts w:ascii="Times New Roman" w:hAnsi="Times New Roman" w:cs="Times New Roman"/>
          <w:b/>
          <w:bCs/>
          <w:sz w:val="24"/>
          <w:szCs w:val="24"/>
        </w:rPr>
      </w:pPr>
      <w:r w:rsidRPr="00074E8E">
        <w:rPr>
          <w:rFonts w:ascii="Times New Roman" w:hAnsi="Times New Roman" w:cs="Times New Roman"/>
          <w:b/>
          <w:bCs/>
          <w:sz w:val="24"/>
          <w:szCs w:val="24"/>
        </w:rPr>
        <w:t>Legal Disputes</w:t>
      </w:r>
    </w:p>
    <w:p w:rsidR="00ED1C05" w:rsidRDefault="009907CC" w:rsidP="00074E8E">
      <w:pPr>
        <w:pStyle w:val="NoSpacing"/>
        <w:jc w:val="both"/>
        <w:rPr>
          <w:rFonts w:ascii="Times New Roman" w:hAnsi="Times New Roman" w:cs="Times New Roman"/>
          <w:sz w:val="24"/>
          <w:szCs w:val="24"/>
        </w:rPr>
      </w:pPr>
      <w:r w:rsidRPr="00074E8E">
        <w:rPr>
          <w:rFonts w:ascii="Times New Roman" w:hAnsi="Times New Roman" w:cs="Times New Roman"/>
          <w:sz w:val="24"/>
          <w:szCs w:val="24"/>
        </w:rPr>
        <w:t>In a condemnation suit an arraignment had been made on motions changing the forum for the trial and disqualification of two City Counselmen. The court was asked to issue the cancellations of mentioned actions taken by that body, and the injunction to keep those individuals from participating in future matters, on the ground that they were precluded from discussing or voting and that the re</w:t>
      </w:r>
      <w:r w:rsidR="008F705B" w:rsidRPr="00074E8E">
        <w:rPr>
          <w:rFonts w:ascii="Times New Roman" w:hAnsi="Times New Roman" w:cs="Times New Roman"/>
          <w:sz w:val="24"/>
          <w:szCs w:val="24"/>
        </w:rPr>
        <w:t>solutions were illegal and void</w:t>
      </w:r>
      <w:r w:rsidRPr="00074E8E">
        <w:rPr>
          <w:rFonts w:ascii="Times New Roman" w:hAnsi="Times New Roman" w:cs="Times New Roman"/>
          <w:sz w:val="24"/>
          <w:szCs w:val="24"/>
        </w:rPr>
        <w:t xml:space="preserve">. </w:t>
      </w:r>
    </w:p>
    <w:p w:rsidR="00ED1C05" w:rsidRDefault="00ED1C05" w:rsidP="00074E8E">
      <w:pPr>
        <w:pStyle w:val="NoSpacing"/>
        <w:jc w:val="both"/>
        <w:rPr>
          <w:rFonts w:ascii="Times New Roman" w:hAnsi="Times New Roman" w:cs="Times New Roman"/>
          <w:sz w:val="24"/>
          <w:szCs w:val="24"/>
        </w:rPr>
      </w:pPr>
    </w:p>
    <w:p w:rsidR="004F06A3" w:rsidRDefault="009907CC" w:rsidP="00074E8E">
      <w:pPr>
        <w:pStyle w:val="NoSpacing"/>
        <w:jc w:val="both"/>
        <w:rPr>
          <w:rFonts w:ascii="Times New Roman" w:hAnsi="Times New Roman" w:cs="Times New Roman"/>
          <w:sz w:val="24"/>
          <w:szCs w:val="24"/>
        </w:rPr>
      </w:pPr>
      <w:r w:rsidRPr="00074E8E">
        <w:rPr>
          <w:rFonts w:ascii="Times New Roman" w:hAnsi="Times New Roman" w:cs="Times New Roman"/>
          <w:sz w:val="24"/>
          <w:szCs w:val="24"/>
        </w:rPr>
        <w:t xml:space="preserve">A suit charging that a zoning ordinance was void on its face as a taking of property without just compensation was dismissed as involving debatable issues of law and fact best left for the appraisal and determination of the courts of Appellate jurisdiction (Graham Waite, 1969). </w:t>
      </w:r>
    </w:p>
    <w:p w:rsidR="004F06A3" w:rsidRDefault="004F06A3" w:rsidP="00074E8E">
      <w:pPr>
        <w:pStyle w:val="NoSpacing"/>
        <w:jc w:val="both"/>
        <w:rPr>
          <w:rFonts w:ascii="Times New Roman" w:hAnsi="Times New Roman" w:cs="Times New Roman"/>
          <w:sz w:val="24"/>
          <w:szCs w:val="24"/>
        </w:rPr>
      </w:pPr>
    </w:p>
    <w:p w:rsidR="008F705B" w:rsidRDefault="009907CC" w:rsidP="00074E8E">
      <w:pPr>
        <w:pStyle w:val="NoSpacing"/>
        <w:jc w:val="both"/>
        <w:rPr>
          <w:rFonts w:ascii="Times New Roman" w:hAnsi="Times New Roman" w:cs="Times New Roman"/>
          <w:sz w:val="24"/>
          <w:szCs w:val="24"/>
        </w:rPr>
      </w:pPr>
      <w:r w:rsidRPr="00074E8E">
        <w:rPr>
          <w:rFonts w:ascii="Times New Roman" w:hAnsi="Times New Roman" w:cs="Times New Roman"/>
          <w:sz w:val="24"/>
          <w:szCs w:val="24"/>
        </w:rPr>
        <w:t xml:space="preserve">A plaintiff farm owner was denied the right to bring a compulsory reference on the issue of the right to a jury trial in a proceeding under condemnation notice rather than by writ. Denial of motion to restrain Deer Park from assigning a franchise for street cable car service was predicated on plaintiff's failure to show any harm to her property or that such </w:t>
      </w:r>
      <w:r w:rsidRPr="00074E8E">
        <w:rPr>
          <w:rFonts w:ascii="Times New Roman" w:hAnsi="Times New Roman" w:cs="Times New Roman"/>
          <w:sz w:val="24"/>
          <w:szCs w:val="24"/>
        </w:rPr>
        <w:lastRenderedPageBreak/>
        <w:t>vindictive action was supported by other than conjecture</w:t>
      </w:r>
      <w:r w:rsidR="00074E8E">
        <w:rPr>
          <w:rFonts w:ascii="Times New Roman" w:hAnsi="Times New Roman" w:cs="Times New Roman"/>
          <w:sz w:val="24"/>
          <w:szCs w:val="24"/>
        </w:rPr>
        <w:t>.</w:t>
      </w:r>
    </w:p>
    <w:p w:rsidR="00074E8E" w:rsidRPr="00074E8E" w:rsidRDefault="00074E8E" w:rsidP="00074E8E">
      <w:pPr>
        <w:pStyle w:val="NoSpacing"/>
        <w:jc w:val="both"/>
        <w:rPr>
          <w:rFonts w:ascii="Times New Roman" w:hAnsi="Times New Roman" w:cs="Times New Roman"/>
          <w:sz w:val="24"/>
          <w:szCs w:val="24"/>
        </w:rPr>
      </w:pPr>
    </w:p>
    <w:p w:rsidR="006E5FF4" w:rsidRPr="00074E8E" w:rsidRDefault="009907CC" w:rsidP="00074E8E">
      <w:pPr>
        <w:pStyle w:val="NoSpacing"/>
        <w:numPr>
          <w:ilvl w:val="0"/>
          <w:numId w:val="15"/>
        </w:numPr>
        <w:jc w:val="both"/>
        <w:rPr>
          <w:rFonts w:ascii="Times New Roman" w:hAnsi="Times New Roman" w:cs="Times New Roman"/>
          <w:b/>
          <w:bCs/>
          <w:sz w:val="24"/>
          <w:szCs w:val="24"/>
        </w:rPr>
      </w:pPr>
      <w:r w:rsidRPr="00074E8E">
        <w:rPr>
          <w:rFonts w:ascii="Times New Roman" w:hAnsi="Times New Roman" w:cs="Times New Roman"/>
          <w:b/>
          <w:bCs/>
          <w:sz w:val="24"/>
          <w:szCs w:val="24"/>
        </w:rPr>
        <w:t>Future Trends in Eminent Domain</w:t>
      </w:r>
    </w:p>
    <w:p w:rsidR="004F06A3" w:rsidRDefault="009907CC" w:rsidP="00074E8E">
      <w:pPr>
        <w:pStyle w:val="NoSpacing"/>
        <w:jc w:val="both"/>
        <w:rPr>
          <w:rFonts w:ascii="Times New Roman" w:hAnsi="Times New Roman" w:cs="Times New Roman"/>
          <w:sz w:val="24"/>
          <w:szCs w:val="24"/>
        </w:rPr>
      </w:pPr>
      <w:r w:rsidRPr="00074E8E">
        <w:rPr>
          <w:rFonts w:ascii="Times New Roman" w:hAnsi="Times New Roman" w:cs="Times New Roman"/>
          <w:sz w:val="24"/>
          <w:szCs w:val="24"/>
        </w:rPr>
        <w:t xml:space="preserve">In the debate over the proper public use of privately owned land, both property rights and community interests claim priority. Homeowners still assert primary rights to their property even as state and local representatives point to contemporary economic land uses as more beneficial. The vigorous battle over the state of New London’s eminent domain suits epitomizes this property versus community debate. </w:t>
      </w:r>
    </w:p>
    <w:p w:rsidR="004F06A3" w:rsidRDefault="004F06A3" w:rsidP="00074E8E">
      <w:pPr>
        <w:pStyle w:val="NoSpacing"/>
        <w:jc w:val="both"/>
        <w:rPr>
          <w:rFonts w:ascii="Times New Roman" w:hAnsi="Times New Roman" w:cs="Times New Roman"/>
          <w:sz w:val="24"/>
          <w:szCs w:val="24"/>
        </w:rPr>
      </w:pPr>
    </w:p>
    <w:p w:rsidR="00DA3833" w:rsidRDefault="009907CC" w:rsidP="00074E8E">
      <w:pPr>
        <w:pStyle w:val="NoSpacing"/>
        <w:jc w:val="both"/>
        <w:rPr>
          <w:rFonts w:ascii="Times New Roman" w:hAnsi="Times New Roman" w:cs="Times New Roman"/>
          <w:sz w:val="24"/>
          <w:szCs w:val="24"/>
        </w:rPr>
      </w:pPr>
      <w:r w:rsidRPr="00074E8E">
        <w:rPr>
          <w:rFonts w:ascii="Times New Roman" w:hAnsi="Times New Roman" w:cs="Times New Roman"/>
          <w:sz w:val="24"/>
          <w:szCs w:val="24"/>
        </w:rPr>
        <w:t xml:space="preserve">Presently, however, there are no model acts or statutory frameworks in this area of state law calling for the creation of parameters to address the social injustice of eminent domain misuse. Even if model acts were developed, judges upset the constitutional balance because historic regulatory taking cases testified to the futility of current efforts to address wrongdoing with law. </w:t>
      </w:r>
    </w:p>
    <w:p w:rsidR="00DA3833" w:rsidRDefault="00DA3833" w:rsidP="00074E8E">
      <w:pPr>
        <w:pStyle w:val="NoSpacing"/>
        <w:jc w:val="both"/>
        <w:rPr>
          <w:rFonts w:ascii="Times New Roman" w:hAnsi="Times New Roman" w:cs="Times New Roman"/>
          <w:sz w:val="24"/>
          <w:szCs w:val="24"/>
        </w:rPr>
      </w:pPr>
    </w:p>
    <w:p w:rsidR="00DA3833" w:rsidRDefault="009907CC" w:rsidP="00074E8E">
      <w:pPr>
        <w:pStyle w:val="NoSpacing"/>
        <w:jc w:val="both"/>
        <w:rPr>
          <w:rFonts w:ascii="Times New Roman" w:hAnsi="Times New Roman" w:cs="Times New Roman"/>
          <w:sz w:val="24"/>
          <w:szCs w:val="24"/>
        </w:rPr>
      </w:pPr>
      <w:r w:rsidRPr="00074E8E">
        <w:rPr>
          <w:rFonts w:ascii="Times New Roman" w:hAnsi="Times New Roman" w:cs="Times New Roman"/>
          <w:sz w:val="24"/>
          <w:szCs w:val="24"/>
        </w:rPr>
        <w:t>Local governments simply take back land by palming off their proceeds in excess of expenses with any remaining funds as slush for home rule statues that protect officials. The legal doctrine does not address the racialized state of cities relative to the global care economy (McFarlane, 2009). In order to define and address eminent domain as a socio-legal injustice, both an epistemological opening and conceptual vocabularies are needed. Policy analysts, attorneys, and law professors in academia must create ideas about the intersections among race, class, and wealth, and the role of government.</w:t>
      </w:r>
    </w:p>
    <w:p w:rsidR="00DA3833" w:rsidRDefault="00DA3833" w:rsidP="00074E8E">
      <w:pPr>
        <w:pStyle w:val="NoSpacing"/>
        <w:jc w:val="both"/>
        <w:rPr>
          <w:rFonts w:ascii="Times New Roman" w:hAnsi="Times New Roman" w:cs="Times New Roman"/>
          <w:sz w:val="24"/>
          <w:szCs w:val="24"/>
        </w:rPr>
      </w:pPr>
    </w:p>
    <w:p w:rsidR="006E5FF4" w:rsidRDefault="009907CC" w:rsidP="00074E8E">
      <w:pPr>
        <w:pStyle w:val="NoSpacing"/>
        <w:jc w:val="both"/>
        <w:rPr>
          <w:rFonts w:ascii="Times New Roman" w:hAnsi="Times New Roman" w:cs="Times New Roman"/>
          <w:sz w:val="24"/>
          <w:szCs w:val="24"/>
        </w:rPr>
      </w:pPr>
      <w:r w:rsidRPr="00074E8E">
        <w:rPr>
          <w:rFonts w:ascii="Times New Roman" w:hAnsi="Times New Roman" w:cs="Times New Roman"/>
          <w:sz w:val="24"/>
          <w:szCs w:val="24"/>
        </w:rPr>
        <w:lastRenderedPageBreak/>
        <w:t xml:space="preserve"> Conceptual tools from critical race theory reveal the powerful ways in which race and racial subordination inform the property debate in the twenty-first century (A. Heller &amp; Hills, 2008). In turn, this understanding brings the world of actors an epistemological opening. The theory of racial formation reminds that race categorizes the social order based on the allocation of resources. As a result, model acts and parameters to inform the concept of public benefit need restructuring to address the legitimacy of the questions and reforms. Thus, realigning the conceptual terrain could make social movement agencies and the courts viable forums for politicizing the globalization of wealth claims and the de facto racism of the property versus community debate.</w:t>
      </w:r>
    </w:p>
    <w:p w:rsidR="00074E8E" w:rsidRPr="00074E8E" w:rsidRDefault="00074E8E" w:rsidP="00074E8E">
      <w:pPr>
        <w:pStyle w:val="NoSpacing"/>
        <w:jc w:val="both"/>
        <w:rPr>
          <w:rFonts w:ascii="Times New Roman" w:hAnsi="Times New Roman" w:cs="Times New Roman"/>
          <w:sz w:val="24"/>
          <w:szCs w:val="24"/>
        </w:rPr>
      </w:pPr>
    </w:p>
    <w:p w:rsidR="006E5FF4" w:rsidRPr="00074E8E" w:rsidRDefault="009907CC" w:rsidP="00074E8E">
      <w:pPr>
        <w:pStyle w:val="NoSpacing"/>
        <w:numPr>
          <w:ilvl w:val="0"/>
          <w:numId w:val="15"/>
        </w:numPr>
        <w:jc w:val="both"/>
        <w:rPr>
          <w:rFonts w:ascii="Times New Roman" w:hAnsi="Times New Roman" w:cs="Times New Roman"/>
          <w:b/>
          <w:bCs/>
          <w:sz w:val="24"/>
          <w:szCs w:val="24"/>
        </w:rPr>
      </w:pPr>
      <w:r w:rsidRPr="00074E8E">
        <w:rPr>
          <w:rFonts w:ascii="Times New Roman" w:hAnsi="Times New Roman" w:cs="Times New Roman"/>
          <w:b/>
          <w:bCs/>
          <w:sz w:val="24"/>
          <w:szCs w:val="24"/>
        </w:rPr>
        <w:t>Technological Advancements</w:t>
      </w:r>
    </w:p>
    <w:p w:rsidR="006E5FF4" w:rsidRDefault="009907CC" w:rsidP="00074E8E">
      <w:pPr>
        <w:pStyle w:val="NoSpacing"/>
        <w:jc w:val="both"/>
        <w:rPr>
          <w:rFonts w:ascii="Times New Roman" w:hAnsi="Times New Roman" w:cs="Times New Roman"/>
          <w:sz w:val="24"/>
          <w:szCs w:val="24"/>
        </w:rPr>
      </w:pPr>
      <w:r w:rsidRPr="00074E8E">
        <w:rPr>
          <w:rFonts w:ascii="Times New Roman" w:hAnsi="Times New Roman" w:cs="Times New Roman"/>
          <w:sz w:val="24"/>
          <w:szCs w:val="24"/>
        </w:rPr>
        <w:t>Rural migration trends have been speculated to change as a result of the global pandemic. Many areas, particularly major urban centers, had seen a drop in rents of up to 29-33%, as remote working policies allowed many city residents to indulge in higher square footage, cheaper housing in the suburbs and rural communities. While remote work may not be practical in many sectors, the fear of dense urban environments persisted. Public health officials proposed that cities must embrace density over sprawl to mitigate exposure to infectious diseases.</w:t>
      </w:r>
    </w:p>
    <w:p w:rsidR="00DA3833" w:rsidRPr="00074E8E" w:rsidRDefault="00DA3833" w:rsidP="00074E8E">
      <w:pPr>
        <w:pStyle w:val="NoSpacing"/>
        <w:jc w:val="both"/>
        <w:rPr>
          <w:rFonts w:ascii="Times New Roman" w:hAnsi="Times New Roman" w:cs="Times New Roman"/>
          <w:sz w:val="24"/>
          <w:szCs w:val="24"/>
        </w:rPr>
      </w:pPr>
    </w:p>
    <w:p w:rsidR="006E5FF4" w:rsidRDefault="009907CC" w:rsidP="00074E8E">
      <w:pPr>
        <w:pStyle w:val="NoSpacing"/>
        <w:jc w:val="both"/>
        <w:rPr>
          <w:rFonts w:ascii="Times New Roman" w:hAnsi="Times New Roman" w:cs="Times New Roman"/>
          <w:sz w:val="24"/>
          <w:szCs w:val="24"/>
        </w:rPr>
      </w:pPr>
      <w:r w:rsidRPr="00074E8E">
        <w:rPr>
          <w:rFonts w:ascii="Times New Roman" w:hAnsi="Times New Roman" w:cs="Times New Roman"/>
          <w:sz w:val="24"/>
          <w:szCs w:val="24"/>
        </w:rPr>
        <w:t xml:space="preserve">The social, economic and spatial distress created by the pandemic raises fundamental questions on the organization and functioning of cities. How well do urban spaces serve to disperse and relics economies of confinement? Is there a role for </w:t>
      </w:r>
      <w:r w:rsidRPr="00074E8E">
        <w:rPr>
          <w:rFonts w:ascii="Times New Roman" w:hAnsi="Times New Roman" w:cs="Times New Roman"/>
          <w:sz w:val="24"/>
          <w:szCs w:val="24"/>
        </w:rPr>
        <w:lastRenderedPageBreak/>
        <w:t>redistributive planning policies in an era of significant uncertainty? Various models of democratic engagement, participation, and liberalism are brought forward. City planners must manage, now more than ever, a high degree of institutional and spatial uncertainty, whilst upholding the basic tenets of social and distributive justice. New and controversial local government matters will require collaboration with infrastructures meeting public needs in innovative forms. Moreover, discussions around local restraints on planning controls across a specific jurisdiction must take into account nimbler, future-oriented policy alternative scenarios.</w:t>
      </w:r>
    </w:p>
    <w:p w:rsidR="00074E8E" w:rsidRPr="00074E8E" w:rsidRDefault="00074E8E" w:rsidP="00074E8E">
      <w:pPr>
        <w:pStyle w:val="NoSpacing"/>
        <w:jc w:val="both"/>
        <w:rPr>
          <w:rFonts w:ascii="Times New Roman" w:hAnsi="Times New Roman" w:cs="Times New Roman"/>
          <w:sz w:val="24"/>
          <w:szCs w:val="24"/>
        </w:rPr>
      </w:pPr>
    </w:p>
    <w:p w:rsidR="006E5FF4" w:rsidRPr="00074E8E" w:rsidRDefault="009907CC" w:rsidP="00074E8E">
      <w:pPr>
        <w:pStyle w:val="NoSpacing"/>
        <w:numPr>
          <w:ilvl w:val="0"/>
          <w:numId w:val="15"/>
        </w:numPr>
        <w:jc w:val="both"/>
        <w:rPr>
          <w:rFonts w:ascii="Times New Roman" w:hAnsi="Times New Roman" w:cs="Times New Roman"/>
          <w:b/>
          <w:bCs/>
          <w:sz w:val="24"/>
          <w:szCs w:val="24"/>
        </w:rPr>
      </w:pPr>
      <w:r w:rsidRPr="00074E8E">
        <w:rPr>
          <w:rFonts w:ascii="Times New Roman" w:hAnsi="Times New Roman" w:cs="Times New Roman"/>
          <w:b/>
          <w:bCs/>
          <w:sz w:val="24"/>
          <w:szCs w:val="24"/>
        </w:rPr>
        <w:t>Changing Public Attitudes</w:t>
      </w:r>
    </w:p>
    <w:p w:rsidR="00ED1C05" w:rsidRDefault="009907CC" w:rsidP="00074E8E">
      <w:pPr>
        <w:pStyle w:val="NoSpacing"/>
        <w:jc w:val="both"/>
        <w:rPr>
          <w:rFonts w:ascii="Times New Roman" w:hAnsi="Times New Roman" w:cs="Times New Roman"/>
          <w:sz w:val="24"/>
          <w:szCs w:val="24"/>
        </w:rPr>
      </w:pPr>
      <w:r w:rsidRPr="00074E8E">
        <w:rPr>
          <w:rFonts w:ascii="Times New Roman" w:hAnsi="Times New Roman" w:cs="Times New Roman"/>
          <w:sz w:val="24"/>
          <w:szCs w:val="24"/>
        </w:rPr>
        <w:t xml:space="preserve">Recent decades have seen radical proposals on paradigm shifts in land acquisition, especially in terms of public attitudes toward their operation. These criticisms vehemently referred the majority of just compensation cases and actual land acquisitions, so did the notion of property price rise. Less justifiable were a few cases in which stakeholders were highly amiss resulting in windfall gains and losses among them. Nevertheless, socio-political underpinnings of leeways for institutional improvements in developing countries remain lackluster. </w:t>
      </w:r>
    </w:p>
    <w:p w:rsidR="00ED1C05" w:rsidRDefault="00ED1C05" w:rsidP="00074E8E">
      <w:pPr>
        <w:pStyle w:val="NoSpacing"/>
        <w:jc w:val="both"/>
        <w:rPr>
          <w:rFonts w:ascii="Times New Roman" w:hAnsi="Times New Roman" w:cs="Times New Roman"/>
          <w:sz w:val="24"/>
          <w:szCs w:val="24"/>
        </w:rPr>
      </w:pPr>
    </w:p>
    <w:p w:rsidR="008F705B" w:rsidRDefault="009907CC" w:rsidP="00074E8E">
      <w:pPr>
        <w:pStyle w:val="NoSpacing"/>
        <w:jc w:val="both"/>
        <w:rPr>
          <w:rFonts w:ascii="Times New Roman" w:hAnsi="Times New Roman" w:cs="Times New Roman"/>
          <w:sz w:val="24"/>
          <w:szCs w:val="24"/>
        </w:rPr>
      </w:pPr>
      <w:r w:rsidRPr="00074E8E">
        <w:rPr>
          <w:rFonts w:ascii="Times New Roman" w:hAnsi="Times New Roman" w:cs="Times New Roman"/>
          <w:sz w:val="24"/>
          <w:szCs w:val="24"/>
        </w:rPr>
        <w:t xml:space="preserve">Viewed in a governance continuum from tutelary or arbitrary state operation to robustness of check and balance between political and civil societies, the alarming distinction of land acquisitions in countries like China and South Korea from their Western counterparts is similar to the forced collectivization and nationalization of major fixed housing or productive assets. When conditions of democracy are painful to reach, </w:t>
      </w:r>
      <w:r w:rsidRPr="00074E8E">
        <w:rPr>
          <w:rFonts w:ascii="Times New Roman" w:hAnsi="Times New Roman" w:cs="Times New Roman"/>
          <w:sz w:val="24"/>
          <w:szCs w:val="24"/>
        </w:rPr>
        <w:lastRenderedPageBreak/>
        <w:t>paradigm shifts would be wishful hopes for right to fair compensation.</w:t>
      </w:r>
    </w:p>
    <w:p w:rsidR="00074E8E" w:rsidRPr="00074E8E" w:rsidRDefault="00074E8E" w:rsidP="00074E8E">
      <w:pPr>
        <w:pStyle w:val="NoSpacing"/>
        <w:jc w:val="both"/>
        <w:rPr>
          <w:rFonts w:ascii="Times New Roman" w:hAnsi="Times New Roman" w:cs="Times New Roman"/>
          <w:sz w:val="24"/>
          <w:szCs w:val="24"/>
        </w:rPr>
      </w:pPr>
    </w:p>
    <w:p w:rsidR="006E5FF4" w:rsidRPr="00074E8E" w:rsidRDefault="009907CC" w:rsidP="00074E8E">
      <w:pPr>
        <w:pStyle w:val="NoSpacing"/>
        <w:numPr>
          <w:ilvl w:val="0"/>
          <w:numId w:val="15"/>
        </w:numPr>
        <w:jc w:val="both"/>
        <w:rPr>
          <w:rFonts w:ascii="Times New Roman" w:hAnsi="Times New Roman" w:cs="Times New Roman"/>
          <w:b/>
          <w:bCs/>
          <w:sz w:val="24"/>
          <w:szCs w:val="24"/>
        </w:rPr>
      </w:pPr>
      <w:r w:rsidRPr="00074E8E">
        <w:rPr>
          <w:rFonts w:ascii="Times New Roman" w:hAnsi="Times New Roman" w:cs="Times New Roman"/>
          <w:b/>
          <w:bCs/>
          <w:sz w:val="24"/>
          <w:szCs w:val="24"/>
        </w:rPr>
        <w:t>Case Studies</w:t>
      </w:r>
    </w:p>
    <w:p w:rsidR="004F06A3" w:rsidRDefault="009907CC" w:rsidP="00074E8E">
      <w:pPr>
        <w:pStyle w:val="NoSpacing"/>
        <w:jc w:val="both"/>
        <w:rPr>
          <w:rFonts w:ascii="Times New Roman" w:hAnsi="Times New Roman" w:cs="Times New Roman"/>
          <w:sz w:val="24"/>
          <w:szCs w:val="24"/>
        </w:rPr>
      </w:pPr>
      <w:r w:rsidRPr="00074E8E">
        <w:rPr>
          <w:rFonts w:ascii="Times New Roman" w:hAnsi="Times New Roman" w:cs="Times New Roman"/>
          <w:sz w:val="24"/>
          <w:szCs w:val="24"/>
        </w:rPr>
        <w:t xml:space="preserve">In recent years, eminent domain laws have come under scrutiny for being overly permissive, particularly in their application to the private market. Increasingly, state legislatures have reacted to this political pressure by instituting statewide limitations on the conditions under which public authorities could exercise eminent domain powers for private use. </w:t>
      </w:r>
    </w:p>
    <w:p w:rsidR="004F06A3" w:rsidRDefault="004F06A3" w:rsidP="00074E8E">
      <w:pPr>
        <w:pStyle w:val="NoSpacing"/>
        <w:jc w:val="both"/>
        <w:rPr>
          <w:rFonts w:ascii="Times New Roman" w:hAnsi="Times New Roman" w:cs="Times New Roman"/>
          <w:sz w:val="24"/>
          <w:szCs w:val="24"/>
        </w:rPr>
      </w:pPr>
    </w:p>
    <w:p w:rsidR="004F06A3" w:rsidRDefault="009907CC" w:rsidP="00074E8E">
      <w:pPr>
        <w:pStyle w:val="NoSpacing"/>
        <w:jc w:val="both"/>
        <w:rPr>
          <w:rFonts w:ascii="Times New Roman" w:hAnsi="Times New Roman" w:cs="Times New Roman"/>
          <w:sz w:val="24"/>
          <w:szCs w:val="24"/>
        </w:rPr>
      </w:pPr>
      <w:r w:rsidRPr="00074E8E">
        <w:rPr>
          <w:rFonts w:ascii="Times New Roman" w:hAnsi="Times New Roman" w:cs="Times New Roman"/>
          <w:sz w:val="24"/>
          <w:szCs w:val="24"/>
        </w:rPr>
        <w:t>For example, in 2006, Congress instituted stricter guidelines for the exercise of federal eminent domain authority for private use, adding a "public benefit" requirement to the existing "public purpose" test of normally permissible condemnations (A. Heller &amp; Hills, 2008).</w:t>
      </w:r>
    </w:p>
    <w:p w:rsidR="004F06A3" w:rsidRDefault="004F06A3" w:rsidP="00074E8E">
      <w:pPr>
        <w:pStyle w:val="NoSpacing"/>
        <w:jc w:val="both"/>
        <w:rPr>
          <w:rFonts w:ascii="Times New Roman" w:hAnsi="Times New Roman" w:cs="Times New Roman"/>
          <w:sz w:val="24"/>
          <w:szCs w:val="24"/>
        </w:rPr>
      </w:pPr>
    </w:p>
    <w:p w:rsidR="004F06A3" w:rsidRDefault="009907CC" w:rsidP="00074E8E">
      <w:pPr>
        <w:pStyle w:val="NoSpacing"/>
        <w:jc w:val="both"/>
        <w:rPr>
          <w:rFonts w:ascii="Times New Roman" w:hAnsi="Times New Roman" w:cs="Times New Roman"/>
          <w:sz w:val="24"/>
          <w:szCs w:val="24"/>
        </w:rPr>
      </w:pPr>
      <w:r w:rsidRPr="00074E8E">
        <w:rPr>
          <w:rFonts w:ascii="Times New Roman" w:hAnsi="Times New Roman" w:cs="Times New Roman"/>
          <w:sz w:val="24"/>
          <w:szCs w:val="24"/>
        </w:rPr>
        <w:t xml:space="preserve"> In a similar vein, in 2007, the Supreme Court ruled that "blight" was not a limiting condition on takings for private use in Kelo v. City of New London. Subsequently, at least forty state legislatures codified the newly-minted guidelines into their own statutes, prompting some to suggest a tsunami of new litigation and court cases to determine whether state courts would join their federal counterparts in unusually permissive interpretations of newly-enacted public benefit takings laws. </w:t>
      </w:r>
    </w:p>
    <w:p w:rsidR="004F06A3" w:rsidRDefault="004F06A3" w:rsidP="00074E8E">
      <w:pPr>
        <w:pStyle w:val="NoSpacing"/>
        <w:jc w:val="both"/>
        <w:rPr>
          <w:rFonts w:ascii="Times New Roman" w:hAnsi="Times New Roman" w:cs="Times New Roman"/>
          <w:sz w:val="24"/>
          <w:szCs w:val="24"/>
        </w:rPr>
      </w:pPr>
    </w:p>
    <w:p w:rsidR="006E5FF4" w:rsidRDefault="009907CC" w:rsidP="00074E8E">
      <w:pPr>
        <w:pStyle w:val="NoSpacing"/>
        <w:jc w:val="both"/>
        <w:rPr>
          <w:rFonts w:ascii="Times New Roman" w:hAnsi="Times New Roman" w:cs="Times New Roman"/>
          <w:sz w:val="24"/>
          <w:szCs w:val="24"/>
        </w:rPr>
      </w:pPr>
      <w:r w:rsidRPr="00074E8E">
        <w:rPr>
          <w:rFonts w:ascii="Times New Roman" w:hAnsi="Times New Roman" w:cs="Times New Roman"/>
          <w:sz w:val="24"/>
          <w:szCs w:val="24"/>
        </w:rPr>
        <w:t>Subsequently, despite howls of protest from Mayors and Urban Planers, courts across the country appeared willing to strike down condemnations long regarded as routine.</w:t>
      </w:r>
    </w:p>
    <w:p w:rsidR="00D57613" w:rsidRDefault="00D57613" w:rsidP="00074E8E">
      <w:pPr>
        <w:pStyle w:val="NoSpacing"/>
        <w:jc w:val="both"/>
        <w:rPr>
          <w:rFonts w:ascii="Times New Roman" w:hAnsi="Times New Roman" w:cs="Times New Roman"/>
          <w:sz w:val="24"/>
          <w:szCs w:val="24"/>
        </w:rPr>
      </w:pPr>
    </w:p>
    <w:p w:rsidR="00074E8E" w:rsidRPr="00074E8E" w:rsidRDefault="00074E8E" w:rsidP="00074E8E">
      <w:pPr>
        <w:pStyle w:val="NoSpacing"/>
        <w:jc w:val="both"/>
        <w:rPr>
          <w:rFonts w:ascii="Times New Roman" w:hAnsi="Times New Roman" w:cs="Times New Roman"/>
          <w:sz w:val="24"/>
          <w:szCs w:val="24"/>
        </w:rPr>
      </w:pPr>
    </w:p>
    <w:p w:rsidR="006E5FF4" w:rsidRPr="00074E8E" w:rsidRDefault="009907CC" w:rsidP="00074E8E">
      <w:pPr>
        <w:pStyle w:val="NoSpacing"/>
        <w:numPr>
          <w:ilvl w:val="0"/>
          <w:numId w:val="15"/>
        </w:numPr>
        <w:jc w:val="both"/>
        <w:rPr>
          <w:rFonts w:ascii="Times New Roman" w:hAnsi="Times New Roman" w:cs="Times New Roman"/>
          <w:b/>
          <w:bCs/>
          <w:sz w:val="24"/>
          <w:szCs w:val="24"/>
        </w:rPr>
      </w:pPr>
      <w:r w:rsidRPr="00074E8E">
        <w:rPr>
          <w:rFonts w:ascii="Times New Roman" w:hAnsi="Times New Roman" w:cs="Times New Roman"/>
          <w:b/>
          <w:bCs/>
          <w:sz w:val="24"/>
          <w:szCs w:val="24"/>
        </w:rPr>
        <w:lastRenderedPageBreak/>
        <w:t>Conclusion</w:t>
      </w:r>
    </w:p>
    <w:p w:rsidR="00DA3833" w:rsidRDefault="009907CC" w:rsidP="00074E8E">
      <w:pPr>
        <w:pStyle w:val="NoSpacing"/>
        <w:jc w:val="both"/>
        <w:rPr>
          <w:rFonts w:ascii="Times New Roman" w:hAnsi="Times New Roman" w:cs="Times New Roman"/>
          <w:sz w:val="24"/>
          <w:szCs w:val="24"/>
        </w:rPr>
      </w:pPr>
      <w:r w:rsidRPr="00074E8E">
        <w:rPr>
          <w:rFonts w:ascii="Times New Roman" w:hAnsi="Times New Roman" w:cs="Times New Roman"/>
          <w:sz w:val="24"/>
          <w:szCs w:val="24"/>
        </w:rPr>
        <w:t xml:space="preserve">In the interests of an orderly development of urban land use, the state has a power, variously called condemnation, compulsory purchase, or expropriation, to acquire land without the owner’s consent. Since the state takes land for its own use, it has had to formulate principles of compensation to ensure that individuals suffer no loss from the imposition of this public burden. The principle of compensation has had a checkered history, reflecting the large variation in national attitudes to the right to property and to the role of the state in the economy. </w:t>
      </w:r>
    </w:p>
    <w:p w:rsidR="00DA3833" w:rsidRDefault="00DA3833" w:rsidP="00074E8E">
      <w:pPr>
        <w:pStyle w:val="NoSpacing"/>
        <w:jc w:val="both"/>
        <w:rPr>
          <w:rFonts w:ascii="Times New Roman" w:hAnsi="Times New Roman" w:cs="Times New Roman"/>
          <w:sz w:val="24"/>
          <w:szCs w:val="24"/>
        </w:rPr>
      </w:pPr>
    </w:p>
    <w:p w:rsidR="00ED1C05" w:rsidRDefault="009907CC" w:rsidP="00074E8E">
      <w:pPr>
        <w:pStyle w:val="NoSpacing"/>
        <w:jc w:val="both"/>
        <w:rPr>
          <w:rFonts w:ascii="Times New Roman" w:hAnsi="Times New Roman" w:cs="Times New Roman"/>
          <w:sz w:val="24"/>
          <w:szCs w:val="24"/>
        </w:rPr>
      </w:pPr>
      <w:r w:rsidRPr="00074E8E">
        <w:rPr>
          <w:rFonts w:ascii="Times New Roman" w:hAnsi="Times New Roman" w:cs="Times New Roman"/>
          <w:sz w:val="24"/>
          <w:szCs w:val="24"/>
        </w:rPr>
        <w:t xml:space="preserve">In 1857 the United States Supreme Court laid down the principle that the value of the property taken should be its market value, and no clearer definition of just compensation has been possible since then. </w:t>
      </w:r>
    </w:p>
    <w:p w:rsidR="00ED1C05" w:rsidRDefault="00ED1C05" w:rsidP="00074E8E">
      <w:pPr>
        <w:pStyle w:val="NoSpacing"/>
        <w:jc w:val="both"/>
        <w:rPr>
          <w:rFonts w:ascii="Times New Roman" w:hAnsi="Times New Roman" w:cs="Times New Roman"/>
          <w:sz w:val="24"/>
          <w:szCs w:val="24"/>
        </w:rPr>
      </w:pPr>
    </w:p>
    <w:p w:rsidR="00D57613" w:rsidRDefault="009907CC" w:rsidP="00074E8E">
      <w:pPr>
        <w:pStyle w:val="NoSpacing"/>
        <w:jc w:val="both"/>
        <w:rPr>
          <w:rFonts w:ascii="Times New Roman" w:hAnsi="Times New Roman" w:cs="Times New Roman"/>
          <w:sz w:val="24"/>
          <w:szCs w:val="24"/>
        </w:rPr>
      </w:pPr>
      <w:r w:rsidRPr="00074E8E">
        <w:rPr>
          <w:rFonts w:ascii="Times New Roman" w:hAnsi="Times New Roman" w:cs="Times New Roman"/>
          <w:sz w:val="24"/>
          <w:szCs w:val="24"/>
        </w:rPr>
        <w:t xml:space="preserve">The new problems that have subsequently arisen in the United States may be attributed to the manner in which the market price has been interpreted and to the inadequacy of perfectly competitive models of the land market in explaining observed behavior. </w:t>
      </w:r>
    </w:p>
    <w:p w:rsidR="00D57613" w:rsidRDefault="00D57613" w:rsidP="00074E8E">
      <w:pPr>
        <w:pStyle w:val="NoSpacing"/>
        <w:jc w:val="both"/>
        <w:rPr>
          <w:rFonts w:ascii="Times New Roman" w:hAnsi="Times New Roman" w:cs="Times New Roman"/>
          <w:sz w:val="24"/>
          <w:szCs w:val="24"/>
        </w:rPr>
      </w:pPr>
    </w:p>
    <w:p w:rsidR="00ED1C05" w:rsidRDefault="009907CC" w:rsidP="00074E8E">
      <w:pPr>
        <w:pStyle w:val="NoSpacing"/>
        <w:jc w:val="both"/>
        <w:rPr>
          <w:rFonts w:ascii="Times New Roman" w:hAnsi="Times New Roman" w:cs="Times New Roman"/>
          <w:sz w:val="24"/>
          <w:szCs w:val="24"/>
        </w:rPr>
      </w:pPr>
      <w:r w:rsidRPr="00074E8E">
        <w:rPr>
          <w:rFonts w:ascii="Times New Roman" w:hAnsi="Times New Roman" w:cs="Times New Roman"/>
          <w:sz w:val="24"/>
          <w:szCs w:val="24"/>
        </w:rPr>
        <w:t xml:space="preserve">Social changes and the shifting role of the state have led to the growing unease about the right to fair compensation (A. Heller &amp; Hills, 2008). It has often been remarked that, in a political democracy, what is fair and just, given consideration of redistributive, moral, and social justice criteria, is a function of power, interest, and ideology. Obviously, ideological frames differ. </w:t>
      </w:r>
    </w:p>
    <w:p w:rsidR="00ED1C05" w:rsidRDefault="00ED1C05" w:rsidP="00074E8E">
      <w:pPr>
        <w:pStyle w:val="NoSpacing"/>
        <w:jc w:val="both"/>
        <w:rPr>
          <w:rFonts w:ascii="Times New Roman" w:hAnsi="Times New Roman" w:cs="Times New Roman"/>
          <w:sz w:val="24"/>
          <w:szCs w:val="24"/>
        </w:rPr>
      </w:pPr>
    </w:p>
    <w:p w:rsidR="00DA3833" w:rsidRDefault="009907CC" w:rsidP="00074E8E">
      <w:pPr>
        <w:pStyle w:val="NoSpacing"/>
        <w:jc w:val="both"/>
        <w:rPr>
          <w:rFonts w:ascii="Times New Roman" w:hAnsi="Times New Roman" w:cs="Times New Roman"/>
          <w:sz w:val="24"/>
          <w:szCs w:val="24"/>
        </w:rPr>
      </w:pPr>
      <w:r w:rsidRPr="00074E8E">
        <w:rPr>
          <w:rFonts w:ascii="Times New Roman" w:hAnsi="Times New Roman" w:cs="Times New Roman"/>
          <w:sz w:val="24"/>
          <w:szCs w:val="24"/>
        </w:rPr>
        <w:t xml:space="preserve">The concerns that have gained currency in the United States over the past two decades with respect to fair </w:t>
      </w:r>
      <w:r w:rsidRPr="00074E8E">
        <w:rPr>
          <w:rFonts w:ascii="Times New Roman" w:hAnsi="Times New Roman" w:cs="Times New Roman"/>
          <w:sz w:val="24"/>
          <w:szCs w:val="24"/>
        </w:rPr>
        <w:lastRenderedPageBreak/>
        <w:t xml:space="preserve">compensation, notwithstanding their wide-ranging assaults on notions of constitutionality and justice, are noticeably more disaggregated than those of many other democracies, notably those in Europe, where issues of fairness and equity can be posed with clearer contemporary reference to the national political-economy. </w:t>
      </w:r>
    </w:p>
    <w:p w:rsidR="00DA3833" w:rsidRDefault="00DA3833" w:rsidP="00074E8E">
      <w:pPr>
        <w:pStyle w:val="NoSpacing"/>
        <w:jc w:val="both"/>
        <w:rPr>
          <w:rFonts w:ascii="Times New Roman" w:hAnsi="Times New Roman" w:cs="Times New Roman"/>
          <w:sz w:val="24"/>
          <w:szCs w:val="24"/>
        </w:rPr>
      </w:pPr>
    </w:p>
    <w:p w:rsidR="006E5FF4" w:rsidRPr="00074E8E" w:rsidRDefault="009907CC" w:rsidP="00074E8E">
      <w:pPr>
        <w:pStyle w:val="NoSpacing"/>
        <w:jc w:val="both"/>
        <w:rPr>
          <w:rFonts w:ascii="Times New Roman" w:hAnsi="Times New Roman" w:cs="Times New Roman"/>
          <w:sz w:val="24"/>
          <w:szCs w:val="24"/>
        </w:rPr>
      </w:pPr>
      <w:r w:rsidRPr="00074E8E">
        <w:rPr>
          <w:rFonts w:ascii="Times New Roman" w:hAnsi="Times New Roman" w:cs="Times New Roman"/>
          <w:sz w:val="24"/>
          <w:szCs w:val="24"/>
        </w:rPr>
        <w:t>This congruence of theorization and contextual framing is beginning to find expression in a polarized, pro-and anti-urban sprawl theorization within the United States right to fair compensation.</w:t>
      </w:r>
    </w:p>
    <w:p w:rsidR="00766733" w:rsidRDefault="00766733" w:rsidP="008F705B">
      <w:pPr>
        <w:spacing w:line="360" w:lineRule="auto"/>
        <w:jc w:val="center"/>
        <w:rPr>
          <w:rFonts w:ascii="Times New Roman" w:hAnsi="Times New Roman" w:cs="Times New Roman"/>
          <w:b/>
          <w:bCs/>
          <w:sz w:val="24"/>
          <w:szCs w:val="24"/>
          <w:u w:val="single"/>
        </w:rPr>
      </w:pPr>
    </w:p>
    <w:p w:rsidR="006E5FF4" w:rsidRPr="00726C35" w:rsidRDefault="00726C35" w:rsidP="00277AFC">
      <w:pPr>
        <w:pStyle w:val="NoSpacing"/>
        <w:ind w:firstLine="360"/>
        <w:jc w:val="both"/>
        <w:rPr>
          <w:rFonts w:ascii="Times New Roman" w:hAnsi="Times New Roman" w:cs="Times New Roman"/>
          <w:b/>
          <w:bCs/>
          <w:i/>
          <w:iCs/>
          <w:sz w:val="24"/>
          <w:szCs w:val="24"/>
          <w:u w:val="single"/>
        </w:rPr>
      </w:pPr>
      <w:r w:rsidRPr="00726C35">
        <w:rPr>
          <w:rFonts w:ascii="Times New Roman" w:hAnsi="Times New Roman" w:cs="Times New Roman"/>
          <w:b/>
          <w:bCs/>
          <w:i/>
          <w:iCs/>
          <w:sz w:val="24"/>
          <w:szCs w:val="24"/>
          <w:u w:val="single"/>
        </w:rPr>
        <w:t>References:</w:t>
      </w:r>
    </w:p>
    <w:p w:rsidR="006E5FF4" w:rsidRPr="00074E8E" w:rsidRDefault="009907CC" w:rsidP="00074E8E">
      <w:pPr>
        <w:pStyle w:val="NoSpacing"/>
        <w:numPr>
          <w:ilvl w:val="0"/>
          <w:numId w:val="16"/>
        </w:numPr>
        <w:jc w:val="both"/>
        <w:rPr>
          <w:rFonts w:ascii="Times New Roman" w:hAnsi="Times New Roman" w:cs="Times New Roman"/>
          <w:sz w:val="24"/>
          <w:szCs w:val="24"/>
        </w:rPr>
      </w:pPr>
      <w:r w:rsidRPr="00074E8E">
        <w:rPr>
          <w:rFonts w:ascii="Times New Roman" w:hAnsi="Times New Roman" w:cs="Times New Roman"/>
          <w:sz w:val="24"/>
          <w:szCs w:val="24"/>
        </w:rPr>
        <w:t>Heller, M. &amp; Hills, R. (2008). Land Assembly Districts</w:t>
      </w:r>
      <w:r w:rsidR="008F705B" w:rsidRPr="00074E8E">
        <w:rPr>
          <w:rFonts w:ascii="Times New Roman" w:hAnsi="Times New Roman" w:cs="Times New Roman"/>
          <w:sz w:val="24"/>
          <w:szCs w:val="24"/>
        </w:rPr>
        <w:t>.</w:t>
      </w:r>
    </w:p>
    <w:p w:rsidR="008F705B" w:rsidRPr="00074E8E" w:rsidRDefault="009907CC" w:rsidP="00074E8E">
      <w:pPr>
        <w:pStyle w:val="NoSpacing"/>
        <w:numPr>
          <w:ilvl w:val="0"/>
          <w:numId w:val="16"/>
        </w:numPr>
        <w:jc w:val="both"/>
        <w:rPr>
          <w:rFonts w:ascii="Times New Roman" w:hAnsi="Times New Roman" w:cs="Times New Roman"/>
          <w:sz w:val="24"/>
          <w:szCs w:val="24"/>
        </w:rPr>
      </w:pPr>
      <w:r w:rsidRPr="00074E8E">
        <w:rPr>
          <w:rFonts w:ascii="Times New Roman" w:hAnsi="Times New Roman" w:cs="Times New Roman"/>
          <w:sz w:val="24"/>
          <w:szCs w:val="24"/>
        </w:rPr>
        <w:t xml:space="preserve">Duffy, K. (1969). Depreciation Damages in Eminent Domain Proceedings. </w:t>
      </w:r>
    </w:p>
    <w:p w:rsidR="008F705B" w:rsidRPr="00074E8E" w:rsidRDefault="009907CC" w:rsidP="00074E8E">
      <w:pPr>
        <w:pStyle w:val="NoSpacing"/>
        <w:numPr>
          <w:ilvl w:val="0"/>
          <w:numId w:val="16"/>
        </w:numPr>
        <w:jc w:val="both"/>
        <w:rPr>
          <w:rFonts w:ascii="Times New Roman" w:hAnsi="Times New Roman" w:cs="Times New Roman"/>
          <w:sz w:val="24"/>
          <w:szCs w:val="24"/>
        </w:rPr>
      </w:pPr>
      <w:r w:rsidRPr="00074E8E">
        <w:rPr>
          <w:rFonts w:ascii="Times New Roman" w:hAnsi="Times New Roman" w:cs="Times New Roman"/>
          <w:sz w:val="24"/>
          <w:szCs w:val="24"/>
        </w:rPr>
        <w:t xml:space="preserve">E. Meidinger, E. (1980). The Public Uses of Eminent Domain: History and Policy. </w:t>
      </w:r>
    </w:p>
    <w:p w:rsidR="006E5FF4" w:rsidRPr="00074E8E" w:rsidRDefault="009907CC" w:rsidP="00074E8E">
      <w:pPr>
        <w:pStyle w:val="NoSpacing"/>
        <w:numPr>
          <w:ilvl w:val="0"/>
          <w:numId w:val="16"/>
        </w:numPr>
        <w:jc w:val="both"/>
        <w:rPr>
          <w:rFonts w:ascii="Times New Roman" w:hAnsi="Times New Roman" w:cs="Times New Roman"/>
          <w:sz w:val="24"/>
          <w:szCs w:val="24"/>
        </w:rPr>
      </w:pPr>
      <w:r w:rsidRPr="00074E8E">
        <w:rPr>
          <w:rFonts w:ascii="Times New Roman" w:hAnsi="Times New Roman" w:cs="Times New Roman"/>
          <w:sz w:val="24"/>
          <w:szCs w:val="24"/>
        </w:rPr>
        <w:t xml:space="preserve">Graham Waite, G. (1969). Property and Just Compensation. </w:t>
      </w:r>
    </w:p>
    <w:p w:rsidR="006E5FF4" w:rsidRPr="00074E8E" w:rsidRDefault="009907CC" w:rsidP="00074E8E">
      <w:pPr>
        <w:pStyle w:val="NoSpacing"/>
        <w:numPr>
          <w:ilvl w:val="0"/>
          <w:numId w:val="16"/>
        </w:numPr>
        <w:jc w:val="both"/>
        <w:rPr>
          <w:rFonts w:ascii="Times New Roman" w:hAnsi="Times New Roman" w:cs="Times New Roman"/>
          <w:sz w:val="24"/>
          <w:szCs w:val="24"/>
        </w:rPr>
      </w:pPr>
      <w:r w:rsidRPr="00074E8E">
        <w:rPr>
          <w:rFonts w:ascii="Times New Roman" w:hAnsi="Times New Roman" w:cs="Times New Roman"/>
          <w:sz w:val="24"/>
          <w:szCs w:val="24"/>
        </w:rPr>
        <w:t xml:space="preserve">Omar, I. &amp; Ismail, M. (2009). Kotaka’s Model in land acquisition for infrastructure provision in Malaysia. </w:t>
      </w:r>
    </w:p>
    <w:p w:rsidR="006E5FF4" w:rsidRPr="00074E8E" w:rsidRDefault="009907CC" w:rsidP="00074E8E">
      <w:pPr>
        <w:pStyle w:val="NoSpacing"/>
        <w:numPr>
          <w:ilvl w:val="0"/>
          <w:numId w:val="16"/>
        </w:numPr>
        <w:jc w:val="both"/>
        <w:rPr>
          <w:rFonts w:ascii="Times New Roman" w:hAnsi="Times New Roman" w:cs="Times New Roman"/>
          <w:sz w:val="24"/>
          <w:szCs w:val="24"/>
        </w:rPr>
      </w:pPr>
      <w:r w:rsidRPr="00074E8E">
        <w:rPr>
          <w:rFonts w:ascii="Times New Roman" w:hAnsi="Times New Roman" w:cs="Times New Roman"/>
          <w:sz w:val="24"/>
          <w:szCs w:val="24"/>
        </w:rPr>
        <w:t>Householder, B. (2007). u3cemu3eKelou3c/emu3e Compensation: The Future of Economic Development Takings.</w:t>
      </w:r>
      <w:r w:rsidR="008F705B" w:rsidRPr="00074E8E">
        <w:rPr>
          <w:rFonts w:ascii="Times New Roman" w:hAnsi="Times New Roman" w:cs="Times New Roman"/>
          <w:sz w:val="24"/>
          <w:szCs w:val="24"/>
        </w:rPr>
        <w:t xml:space="preserve"> </w:t>
      </w:r>
    </w:p>
    <w:p w:rsidR="006E5FF4" w:rsidRPr="00074E8E" w:rsidRDefault="009907CC" w:rsidP="00074E8E">
      <w:pPr>
        <w:pStyle w:val="NoSpacing"/>
        <w:numPr>
          <w:ilvl w:val="0"/>
          <w:numId w:val="16"/>
        </w:numPr>
        <w:jc w:val="both"/>
        <w:rPr>
          <w:rFonts w:ascii="Times New Roman" w:hAnsi="Times New Roman" w:cs="Times New Roman"/>
          <w:sz w:val="24"/>
          <w:szCs w:val="24"/>
        </w:rPr>
      </w:pPr>
      <w:r w:rsidRPr="00074E8E">
        <w:rPr>
          <w:rFonts w:ascii="Times New Roman" w:hAnsi="Times New Roman" w:cs="Times New Roman"/>
          <w:sz w:val="24"/>
          <w:szCs w:val="24"/>
        </w:rPr>
        <w:t xml:space="preserve">Ruppe, A. (2005). Kelo v. City of New London: An Inadvertent Landmark Decision?. </w:t>
      </w:r>
    </w:p>
    <w:p w:rsidR="006E5FF4" w:rsidRPr="00074E8E" w:rsidRDefault="009907CC" w:rsidP="00074E8E">
      <w:pPr>
        <w:pStyle w:val="NoSpacing"/>
        <w:numPr>
          <w:ilvl w:val="0"/>
          <w:numId w:val="16"/>
        </w:numPr>
        <w:jc w:val="both"/>
        <w:rPr>
          <w:rFonts w:ascii="Times New Roman" w:hAnsi="Times New Roman" w:cs="Times New Roman"/>
          <w:sz w:val="24"/>
          <w:szCs w:val="24"/>
        </w:rPr>
      </w:pPr>
      <w:r w:rsidRPr="00074E8E">
        <w:rPr>
          <w:rFonts w:ascii="Times New Roman" w:hAnsi="Times New Roman" w:cs="Times New Roman"/>
          <w:sz w:val="24"/>
          <w:szCs w:val="24"/>
        </w:rPr>
        <w:t>McFarlane, A. (2009). Rebuilding the Public-Private City: Regulatory Takingu27s Anti-Subordination Insights for Eminent Domain and Redevelopment.</w:t>
      </w:r>
      <w:r w:rsidR="008F705B" w:rsidRPr="00074E8E">
        <w:rPr>
          <w:rFonts w:ascii="Times New Roman" w:hAnsi="Times New Roman" w:cs="Times New Roman"/>
          <w:sz w:val="24"/>
          <w:szCs w:val="24"/>
        </w:rPr>
        <w:t xml:space="preserve"> </w:t>
      </w:r>
    </w:p>
    <w:p w:rsidR="008F705B" w:rsidRPr="00074E8E" w:rsidRDefault="009907CC" w:rsidP="00074E8E">
      <w:pPr>
        <w:pStyle w:val="NoSpacing"/>
        <w:numPr>
          <w:ilvl w:val="0"/>
          <w:numId w:val="16"/>
        </w:numPr>
        <w:jc w:val="both"/>
        <w:rPr>
          <w:rFonts w:ascii="Times New Roman" w:hAnsi="Times New Roman" w:cs="Times New Roman"/>
          <w:sz w:val="24"/>
          <w:szCs w:val="24"/>
        </w:rPr>
      </w:pPr>
      <w:r w:rsidRPr="00074E8E">
        <w:rPr>
          <w:rFonts w:ascii="Times New Roman" w:hAnsi="Times New Roman" w:cs="Times New Roman"/>
          <w:sz w:val="24"/>
          <w:szCs w:val="24"/>
        </w:rPr>
        <w:lastRenderedPageBreak/>
        <w:t xml:space="preserve">Gumato Bonaya, A. (2018). Compulsory acquisition and the right to property: the gaps in the legal framework, practices and possible solutions. </w:t>
      </w:r>
    </w:p>
    <w:p w:rsidR="006E5FF4" w:rsidRPr="00074E8E" w:rsidRDefault="009907CC" w:rsidP="00074E8E">
      <w:pPr>
        <w:pStyle w:val="NoSpacing"/>
        <w:numPr>
          <w:ilvl w:val="0"/>
          <w:numId w:val="16"/>
        </w:numPr>
        <w:jc w:val="both"/>
        <w:rPr>
          <w:rFonts w:ascii="Times New Roman" w:hAnsi="Times New Roman" w:cs="Times New Roman"/>
          <w:sz w:val="24"/>
          <w:szCs w:val="24"/>
        </w:rPr>
      </w:pPr>
      <w:r w:rsidRPr="00074E8E">
        <w:rPr>
          <w:rFonts w:ascii="Times New Roman" w:hAnsi="Times New Roman" w:cs="Times New Roman"/>
          <w:sz w:val="24"/>
          <w:szCs w:val="24"/>
        </w:rPr>
        <w:t xml:space="preserve">Mangioni, V. (2008). The epistemology of value in the assessment of just terms compensation. </w:t>
      </w:r>
    </w:p>
    <w:p w:rsidR="006E5FF4" w:rsidRPr="00074E8E" w:rsidRDefault="009907CC" w:rsidP="00074E8E">
      <w:pPr>
        <w:pStyle w:val="NoSpacing"/>
        <w:numPr>
          <w:ilvl w:val="0"/>
          <w:numId w:val="16"/>
        </w:numPr>
        <w:jc w:val="both"/>
        <w:rPr>
          <w:rFonts w:ascii="Times New Roman" w:hAnsi="Times New Roman" w:cs="Times New Roman"/>
          <w:sz w:val="24"/>
          <w:szCs w:val="24"/>
        </w:rPr>
      </w:pPr>
      <w:r w:rsidRPr="00074E8E">
        <w:rPr>
          <w:rFonts w:ascii="Times New Roman" w:hAnsi="Times New Roman" w:cs="Times New Roman"/>
          <w:sz w:val="24"/>
          <w:szCs w:val="24"/>
        </w:rPr>
        <w:t xml:space="preserve">S. Dickinson, G. (2014). Inclusionary Eminent Domain. </w:t>
      </w:r>
    </w:p>
    <w:p w:rsidR="006E5FF4" w:rsidRPr="00074E8E" w:rsidRDefault="009907CC" w:rsidP="00074E8E">
      <w:pPr>
        <w:pStyle w:val="NoSpacing"/>
        <w:numPr>
          <w:ilvl w:val="0"/>
          <w:numId w:val="16"/>
        </w:numPr>
        <w:jc w:val="both"/>
        <w:rPr>
          <w:rFonts w:ascii="Times New Roman" w:hAnsi="Times New Roman" w:cs="Times New Roman"/>
          <w:sz w:val="24"/>
          <w:szCs w:val="24"/>
        </w:rPr>
      </w:pPr>
      <w:r w:rsidRPr="00074E8E">
        <w:rPr>
          <w:rFonts w:ascii="Times New Roman" w:hAnsi="Times New Roman" w:cs="Times New Roman"/>
          <w:sz w:val="24"/>
          <w:szCs w:val="24"/>
        </w:rPr>
        <w:t xml:space="preserve">J. Rogers, M. (2011). Eminent Domain in the Wake of the Kelo Decision. </w:t>
      </w:r>
    </w:p>
    <w:p w:rsidR="006E5FF4" w:rsidRPr="00074E8E" w:rsidRDefault="009907CC" w:rsidP="00074E8E">
      <w:pPr>
        <w:pStyle w:val="NoSpacing"/>
        <w:numPr>
          <w:ilvl w:val="0"/>
          <w:numId w:val="16"/>
        </w:numPr>
        <w:jc w:val="both"/>
        <w:rPr>
          <w:rFonts w:ascii="Times New Roman" w:hAnsi="Times New Roman" w:cs="Times New Roman"/>
          <w:sz w:val="24"/>
          <w:szCs w:val="24"/>
        </w:rPr>
      </w:pPr>
      <w:r w:rsidRPr="00074E8E">
        <w:rPr>
          <w:rFonts w:ascii="Times New Roman" w:hAnsi="Times New Roman" w:cs="Times New Roman"/>
          <w:sz w:val="24"/>
          <w:szCs w:val="24"/>
        </w:rPr>
        <w:t xml:space="preserve">J. Posey, T. (2003). This Land is My Land: The Need for a Feasibility Test in Evaluation of Takings for Public Necessity. </w:t>
      </w:r>
    </w:p>
    <w:sectPr w:rsidR="006E5FF4" w:rsidRPr="00074E8E" w:rsidSect="00153581">
      <w:headerReference w:type="default" r:id="rId8"/>
      <w:footerReference w:type="default" r:id="rId9"/>
      <w:type w:val="continuous"/>
      <w:pgSz w:w="12240" w:h="15840"/>
      <w:pgMar w:top="1440" w:right="1800" w:bottom="1440" w:left="180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412C" w:rsidRDefault="00A0412C" w:rsidP="00B45E8D">
      <w:pPr>
        <w:spacing w:after="0" w:line="240" w:lineRule="auto"/>
      </w:pPr>
      <w:r>
        <w:separator/>
      </w:r>
    </w:p>
  </w:endnote>
  <w:endnote w:type="continuationSeparator" w:id="1">
    <w:p w:rsidR="00A0412C" w:rsidRDefault="00A0412C" w:rsidP="00B45E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B6D" w:rsidRPr="0092077C" w:rsidRDefault="00F17B6D" w:rsidP="0092077C">
    <w:pPr>
      <w:pStyle w:val="Footer"/>
      <w:pBdr>
        <w:top w:val="thinThickSmallGap" w:sz="24" w:space="1" w:color="622423" w:themeColor="accent2" w:themeShade="7F"/>
      </w:pBdr>
      <w:jc w:val="both"/>
      <w:rPr>
        <w:rFonts w:ascii="Times New Roman" w:hAnsi="Times New Roman" w:cs="Times New Roman"/>
        <w:sz w:val="24"/>
        <w:szCs w:val="24"/>
      </w:rPr>
    </w:pPr>
    <w:r w:rsidRPr="0092077C">
      <w:rPr>
        <w:rFonts w:ascii="Times New Roman" w:hAnsi="Times New Roman" w:cs="Times New Roman"/>
        <w:sz w:val="24"/>
        <w:szCs w:val="24"/>
      </w:rPr>
      <w:t>International Journal of Law &amp; Research</w:t>
    </w:r>
    <w:r w:rsidRPr="0092077C">
      <w:rPr>
        <w:rFonts w:ascii="Times New Roman" w:hAnsi="Times New Roman" w:cs="Times New Roman"/>
        <w:sz w:val="24"/>
        <w:szCs w:val="24"/>
      </w:rPr>
      <w:ptab w:relativeTo="margin" w:alignment="right" w:leader="none"/>
    </w:r>
    <w:r w:rsidRPr="0092077C">
      <w:rPr>
        <w:rFonts w:ascii="Times New Roman" w:hAnsi="Times New Roman" w:cs="Times New Roman"/>
        <w:sz w:val="24"/>
        <w:szCs w:val="24"/>
      </w:rPr>
      <w:t xml:space="preserve">Page </w:t>
    </w:r>
    <w:r w:rsidR="0007735D" w:rsidRPr="0092077C">
      <w:rPr>
        <w:rFonts w:ascii="Times New Roman" w:hAnsi="Times New Roman" w:cs="Times New Roman"/>
        <w:sz w:val="24"/>
        <w:szCs w:val="24"/>
      </w:rPr>
      <w:fldChar w:fldCharType="begin"/>
    </w:r>
    <w:r w:rsidRPr="0092077C">
      <w:rPr>
        <w:rFonts w:ascii="Times New Roman" w:hAnsi="Times New Roman" w:cs="Times New Roman"/>
        <w:sz w:val="24"/>
        <w:szCs w:val="24"/>
      </w:rPr>
      <w:instrText xml:space="preserve"> PAGE   \* MERGEFORMAT </w:instrText>
    </w:r>
    <w:r w:rsidR="0007735D" w:rsidRPr="0092077C">
      <w:rPr>
        <w:rFonts w:ascii="Times New Roman" w:hAnsi="Times New Roman" w:cs="Times New Roman"/>
        <w:sz w:val="24"/>
        <w:szCs w:val="24"/>
      </w:rPr>
      <w:fldChar w:fldCharType="separate"/>
    </w:r>
    <w:r w:rsidR="00537D09">
      <w:rPr>
        <w:rFonts w:ascii="Times New Roman" w:hAnsi="Times New Roman" w:cs="Times New Roman"/>
        <w:noProof/>
        <w:sz w:val="24"/>
        <w:szCs w:val="24"/>
      </w:rPr>
      <w:t>2</w:t>
    </w:r>
    <w:r w:rsidR="0007735D" w:rsidRPr="0092077C">
      <w:rPr>
        <w:rFonts w:ascii="Times New Roman" w:hAnsi="Times New Roman" w:cs="Times New Roman"/>
        <w:sz w:val="24"/>
        <w:szCs w:val="24"/>
      </w:rPr>
      <w:fldChar w:fldCharType="end"/>
    </w:r>
  </w:p>
  <w:p w:rsidR="00B45E8D" w:rsidRPr="0092077C" w:rsidRDefault="00B45E8D" w:rsidP="0092077C">
    <w:pPr>
      <w:pStyle w:val="Footer"/>
      <w:jc w:val="both"/>
      <w:rPr>
        <w:rFonts w:ascii="Times New Roman" w:hAnsi="Times New Roman" w:cs="Times New Roman"/>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412C" w:rsidRDefault="00A0412C" w:rsidP="00B45E8D">
      <w:pPr>
        <w:spacing w:after="0" w:line="240" w:lineRule="auto"/>
      </w:pPr>
      <w:r>
        <w:separator/>
      </w:r>
    </w:p>
  </w:footnote>
  <w:footnote w:type="continuationSeparator" w:id="1">
    <w:p w:rsidR="00A0412C" w:rsidRDefault="00A0412C" w:rsidP="00B45E8D">
      <w:pPr>
        <w:spacing w:after="0" w:line="240" w:lineRule="auto"/>
      </w:pPr>
      <w:r>
        <w:continuationSeparator/>
      </w:r>
    </w:p>
  </w:footnote>
  <w:footnote w:id="2">
    <w:p w:rsidR="00F4510B" w:rsidRDefault="00F4510B">
      <w:pPr>
        <w:pStyle w:val="FootnoteText"/>
      </w:pPr>
      <w:r>
        <w:rPr>
          <w:rStyle w:val="FootnoteReference"/>
        </w:rPr>
        <w:footnoteRef/>
      </w:r>
      <w:r>
        <w:t>Faculty at Mangalayatan University, Aligarh, U.P.</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heme="majorEastAsia" w:hAnsi="Times New Roman" w:cs="Times New Roman"/>
        <w:sz w:val="24"/>
        <w:szCs w:val="24"/>
      </w:rPr>
      <w:alias w:val="Title"/>
      <w:id w:val="18275991"/>
      <w:placeholder>
        <w:docPart w:val="5DC7D5D717B843BBA21A2C82C849990B"/>
      </w:placeholder>
      <w:dataBinding w:prefixMappings="xmlns:ns0='http://schemas.openxmlformats.org/package/2006/metadata/core-properties' xmlns:ns1='http://purl.org/dc/elements/1.1/'" w:xpath="/ns0:coreProperties[1]/ns1:title[1]" w:storeItemID="{6C3C8BC8-F283-45AE-878A-BAB7291924A1}"/>
      <w:text/>
    </w:sdtPr>
    <w:sdtContent>
      <w:p w:rsidR="00B45E8D" w:rsidRPr="00B45E8D" w:rsidRDefault="00B45E8D" w:rsidP="0092077C">
        <w:pPr>
          <w:pStyle w:val="Header"/>
          <w:pBdr>
            <w:bottom w:val="thickThinSmallGap" w:sz="24" w:space="1" w:color="622423" w:themeColor="accent2" w:themeShade="7F"/>
          </w:pBdr>
          <w:jc w:val="both"/>
          <w:rPr>
            <w:rFonts w:ascii="Times New Roman" w:eastAsiaTheme="majorEastAsia" w:hAnsi="Times New Roman" w:cs="Times New Roman"/>
            <w:sz w:val="24"/>
            <w:szCs w:val="24"/>
          </w:rPr>
        </w:pPr>
        <w:r w:rsidRPr="0092077C">
          <w:rPr>
            <w:rFonts w:ascii="Times New Roman" w:eastAsiaTheme="majorEastAsia" w:hAnsi="Times New Roman" w:cs="Times New Roman"/>
            <w:sz w:val="24"/>
            <w:szCs w:val="24"/>
          </w:rPr>
          <w:t xml:space="preserve">ISSN..XXXX      </w:t>
        </w:r>
        <w:r w:rsidR="00A859D7" w:rsidRPr="0092077C">
          <w:rPr>
            <w:rFonts w:ascii="Times New Roman" w:eastAsiaTheme="majorEastAsia" w:hAnsi="Times New Roman" w:cs="Times New Roman"/>
            <w:sz w:val="24"/>
            <w:szCs w:val="24"/>
          </w:rPr>
          <w:t xml:space="preserve">  </w:t>
        </w:r>
        <w:r w:rsidRPr="0092077C">
          <w:rPr>
            <w:rFonts w:ascii="Times New Roman" w:eastAsiaTheme="majorEastAsia" w:hAnsi="Times New Roman" w:cs="Times New Roman"/>
            <w:sz w:val="24"/>
            <w:szCs w:val="24"/>
          </w:rPr>
          <w:t xml:space="preserve">                                      </w:t>
        </w:r>
        <w:r w:rsidR="00C301D8" w:rsidRPr="0092077C">
          <w:rPr>
            <w:rFonts w:ascii="Times New Roman" w:eastAsiaTheme="majorEastAsia" w:hAnsi="Times New Roman" w:cs="Times New Roman"/>
            <w:sz w:val="24"/>
            <w:szCs w:val="24"/>
          </w:rPr>
          <w:t xml:space="preserve">                             </w:t>
        </w:r>
        <w:r w:rsidRPr="0092077C">
          <w:rPr>
            <w:rFonts w:ascii="Times New Roman" w:eastAsiaTheme="majorEastAsia" w:hAnsi="Times New Roman" w:cs="Times New Roman"/>
            <w:sz w:val="24"/>
            <w:szCs w:val="24"/>
          </w:rPr>
          <w:t>Vol…Issue</w:t>
        </w:r>
        <w:r w:rsidR="00C301D8" w:rsidRPr="0092077C">
          <w:rPr>
            <w:rFonts w:ascii="Times New Roman" w:eastAsiaTheme="majorEastAsia" w:hAnsi="Times New Roman" w:cs="Times New Roman"/>
            <w:sz w:val="24"/>
            <w:szCs w:val="24"/>
          </w:rPr>
          <w:t xml:space="preserve"> </w:t>
        </w:r>
        <w:r w:rsidR="00A859D7" w:rsidRPr="0092077C">
          <w:rPr>
            <w:rFonts w:ascii="Times New Roman" w:eastAsiaTheme="majorEastAsia" w:hAnsi="Times New Roman" w:cs="Times New Roman"/>
            <w:sz w:val="24"/>
            <w:szCs w:val="24"/>
          </w:rPr>
          <w:t>(June-Aug.2026)</w:t>
        </w:r>
        <w:r w:rsidRPr="0092077C">
          <w:rPr>
            <w:rFonts w:ascii="Times New Roman" w:eastAsiaTheme="majorEastAsia" w:hAnsi="Times New Roman" w:cs="Times New Roman"/>
            <w:sz w:val="24"/>
            <w:szCs w:val="24"/>
          </w:rPr>
          <w:t xml:space="preserve">     </w:t>
        </w:r>
      </w:p>
    </w:sdtContent>
  </w:sdt>
  <w:p w:rsidR="00B45E8D" w:rsidRDefault="00B45E8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151048B1"/>
    <w:multiLevelType w:val="hybridMultilevel"/>
    <w:tmpl w:val="D4DED82E"/>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620FAE"/>
    <w:multiLevelType w:val="hybridMultilevel"/>
    <w:tmpl w:val="CCBC06C2"/>
    <w:lvl w:ilvl="0" w:tplc="0409000F">
      <w:start w:val="1"/>
      <w:numFmt w:val="decimal"/>
      <w:lvlText w:val="%1."/>
      <w:lvlJc w:val="left"/>
      <w:pPr>
        <w:ind w:left="720" w:hanging="360"/>
      </w:pPr>
    </w:lvl>
    <w:lvl w:ilvl="1" w:tplc="4B2E93B2">
      <w:start w:val="1"/>
      <w:numFmt w:val="upperLetter"/>
      <w:lvlText w:val="%2."/>
      <w:lvlJc w:val="left"/>
      <w:pPr>
        <w:ind w:left="1455" w:hanging="37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6D029F"/>
    <w:multiLevelType w:val="hybridMultilevel"/>
    <w:tmpl w:val="FB70C3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8520B8"/>
    <w:multiLevelType w:val="hybridMultilevel"/>
    <w:tmpl w:val="CCBC06C2"/>
    <w:lvl w:ilvl="0" w:tplc="0409000F">
      <w:start w:val="1"/>
      <w:numFmt w:val="decimal"/>
      <w:lvlText w:val="%1."/>
      <w:lvlJc w:val="left"/>
      <w:pPr>
        <w:ind w:left="720" w:hanging="360"/>
      </w:pPr>
    </w:lvl>
    <w:lvl w:ilvl="1" w:tplc="4B2E93B2">
      <w:start w:val="1"/>
      <w:numFmt w:val="upperLetter"/>
      <w:lvlText w:val="%2."/>
      <w:lvlJc w:val="left"/>
      <w:pPr>
        <w:ind w:left="1455" w:hanging="37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7165B7"/>
    <w:multiLevelType w:val="multilevel"/>
    <w:tmpl w:val="BC2C6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27706F8"/>
    <w:multiLevelType w:val="hybridMultilevel"/>
    <w:tmpl w:val="30242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E4B677F"/>
    <w:multiLevelType w:val="hybridMultilevel"/>
    <w:tmpl w:val="1D907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1"/>
  </w:num>
  <w:num w:numId="12">
    <w:abstractNumId w:val="12"/>
  </w:num>
  <w:num w:numId="13">
    <w:abstractNumId w:val="13"/>
  </w:num>
  <w:num w:numId="14">
    <w:abstractNumId w:val="15"/>
  </w:num>
  <w:num w:numId="15">
    <w:abstractNumId w:val="9"/>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useFELayout/>
  </w:compat>
  <w:rsids>
    <w:rsidRoot w:val="00B47730"/>
    <w:rsid w:val="00034616"/>
    <w:rsid w:val="0006063C"/>
    <w:rsid w:val="00074E8E"/>
    <w:rsid w:val="0007735D"/>
    <w:rsid w:val="000A46C6"/>
    <w:rsid w:val="00104810"/>
    <w:rsid w:val="001329DC"/>
    <w:rsid w:val="0015074B"/>
    <w:rsid w:val="00150BEC"/>
    <w:rsid w:val="00153581"/>
    <w:rsid w:val="00241D64"/>
    <w:rsid w:val="0026239D"/>
    <w:rsid w:val="00277AFC"/>
    <w:rsid w:val="0029639D"/>
    <w:rsid w:val="002E7EB5"/>
    <w:rsid w:val="002F2534"/>
    <w:rsid w:val="002F799D"/>
    <w:rsid w:val="00303DE0"/>
    <w:rsid w:val="00326F90"/>
    <w:rsid w:val="0035420E"/>
    <w:rsid w:val="003B421E"/>
    <w:rsid w:val="003F39F8"/>
    <w:rsid w:val="00441872"/>
    <w:rsid w:val="004F06A3"/>
    <w:rsid w:val="00503EE7"/>
    <w:rsid w:val="00537D09"/>
    <w:rsid w:val="0055457F"/>
    <w:rsid w:val="00646949"/>
    <w:rsid w:val="006E0209"/>
    <w:rsid w:val="006E5FF4"/>
    <w:rsid w:val="00706C05"/>
    <w:rsid w:val="00726C35"/>
    <w:rsid w:val="00766733"/>
    <w:rsid w:val="007C3F09"/>
    <w:rsid w:val="008F4084"/>
    <w:rsid w:val="008F705B"/>
    <w:rsid w:val="0092077C"/>
    <w:rsid w:val="00926D7A"/>
    <w:rsid w:val="00931571"/>
    <w:rsid w:val="0093562D"/>
    <w:rsid w:val="00974CB3"/>
    <w:rsid w:val="009907CC"/>
    <w:rsid w:val="009B4060"/>
    <w:rsid w:val="009B6181"/>
    <w:rsid w:val="00A0412C"/>
    <w:rsid w:val="00A859D7"/>
    <w:rsid w:val="00AA1D8D"/>
    <w:rsid w:val="00AE4792"/>
    <w:rsid w:val="00B41E20"/>
    <w:rsid w:val="00B45AE9"/>
    <w:rsid w:val="00B45E8D"/>
    <w:rsid w:val="00B47730"/>
    <w:rsid w:val="00C04404"/>
    <w:rsid w:val="00C11032"/>
    <w:rsid w:val="00C2768D"/>
    <w:rsid w:val="00C301D8"/>
    <w:rsid w:val="00C36961"/>
    <w:rsid w:val="00CB0664"/>
    <w:rsid w:val="00D35C9A"/>
    <w:rsid w:val="00D4582D"/>
    <w:rsid w:val="00D57613"/>
    <w:rsid w:val="00D623B1"/>
    <w:rsid w:val="00DA3833"/>
    <w:rsid w:val="00ED1C05"/>
    <w:rsid w:val="00F17B6D"/>
    <w:rsid w:val="00F32C65"/>
    <w:rsid w:val="00F4510B"/>
    <w:rsid w:val="00F45608"/>
    <w:rsid w:val="00F63461"/>
    <w:rsid w:val="00FC69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
    <w:name w:val="Light List1"/>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1">
    <w:name w:val="Light Grid1"/>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1">
    <w:name w:val="Medium Shading 1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1">
    <w:name w:val="Medium List 2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1">
    <w:name w:val="Medium Grid 1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1">
    <w:name w:val="Medium Grid 2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1">
    <w:name w:val="Dark List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1">
    <w:name w:val="Colorful Shading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1">
    <w:name w:val="Colorful List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1">
    <w:name w:val="Colorful Grid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C04404"/>
    <w:rPr>
      <w:color w:val="0000FF" w:themeColor="hyperlink"/>
      <w:u w:val="single"/>
    </w:rPr>
  </w:style>
  <w:style w:type="paragraph" w:styleId="BalloonText">
    <w:name w:val="Balloon Text"/>
    <w:basedOn w:val="Normal"/>
    <w:link w:val="BalloonTextChar"/>
    <w:uiPriority w:val="99"/>
    <w:semiHidden/>
    <w:unhideWhenUsed/>
    <w:rsid w:val="00B45E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5E8D"/>
    <w:rPr>
      <w:rFonts w:ascii="Tahoma" w:hAnsi="Tahoma" w:cs="Tahoma"/>
      <w:sz w:val="16"/>
      <w:szCs w:val="16"/>
    </w:rPr>
  </w:style>
  <w:style w:type="paragraph" w:styleId="FootnoteText">
    <w:name w:val="footnote text"/>
    <w:basedOn w:val="Normal"/>
    <w:link w:val="FootnoteTextChar"/>
    <w:uiPriority w:val="99"/>
    <w:semiHidden/>
    <w:unhideWhenUsed/>
    <w:rsid w:val="001535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3581"/>
    <w:rPr>
      <w:sz w:val="20"/>
      <w:szCs w:val="20"/>
    </w:rPr>
  </w:style>
  <w:style w:type="character" w:styleId="FootnoteReference">
    <w:name w:val="footnote reference"/>
    <w:basedOn w:val="DefaultParagraphFont"/>
    <w:uiPriority w:val="99"/>
    <w:semiHidden/>
    <w:unhideWhenUsed/>
    <w:rsid w:val="00153581"/>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divs>
    <w:div w:id="536552747">
      <w:bodyDiv w:val="1"/>
      <w:marLeft w:val="0"/>
      <w:marRight w:val="0"/>
      <w:marTop w:val="0"/>
      <w:marBottom w:val="0"/>
      <w:divBdr>
        <w:top w:val="none" w:sz="0" w:space="0" w:color="auto"/>
        <w:left w:val="none" w:sz="0" w:space="0" w:color="auto"/>
        <w:bottom w:val="none" w:sz="0" w:space="0" w:color="auto"/>
        <w:right w:val="none" w:sz="0" w:space="0" w:color="auto"/>
      </w:divBdr>
    </w:div>
    <w:div w:id="17228976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DC7D5D717B843BBA21A2C82C849990B"/>
        <w:category>
          <w:name w:val="General"/>
          <w:gallery w:val="placeholder"/>
        </w:category>
        <w:types>
          <w:type w:val="bbPlcHdr"/>
        </w:types>
        <w:behaviors>
          <w:behavior w:val="content"/>
        </w:behaviors>
        <w:guid w:val="{532735FD-BEEE-40A8-9278-4CECC633DF5B}"/>
      </w:docPartPr>
      <w:docPartBody>
        <w:p w:rsidR="00F12DF5" w:rsidRDefault="00E259DE" w:rsidP="00E259DE">
          <w:pPr>
            <w:pStyle w:val="5DC7D5D717B843BBA21A2C82C849990B"/>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E259DE"/>
    <w:rsid w:val="00467C46"/>
    <w:rsid w:val="0069452D"/>
    <w:rsid w:val="006E20E7"/>
    <w:rsid w:val="007A1394"/>
    <w:rsid w:val="008D1E6F"/>
    <w:rsid w:val="00B07C7B"/>
    <w:rsid w:val="00E259DE"/>
    <w:rsid w:val="00F12D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D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DC7D5D717B843BBA21A2C82C849990B">
    <w:name w:val="5DC7D5D717B843BBA21A2C82C849990B"/>
    <w:rsid w:val="00E259DE"/>
  </w:style>
  <w:style w:type="paragraph" w:customStyle="1" w:styleId="6EDDE9D9583A47A1AF1863B89DD96F82">
    <w:name w:val="6EDDE9D9583A47A1AF1863B89DD96F82"/>
    <w:rsid w:val="00E259D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4687E-E61B-4635-A29F-CBAE8F06B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9</Pages>
  <Words>3920</Words>
  <Characters>22346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26214</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ISSN..XXXX                                                                           Vol…Issue (June-Aug.2026)     </dc:title>
  <dc:creator>python-docx</dc:creator>
  <dc:description>generated by python-docx</dc:description>
  <cp:lastModifiedBy>TMU-7</cp:lastModifiedBy>
  <cp:revision>38</cp:revision>
  <dcterms:created xsi:type="dcterms:W3CDTF">2026-04-16T16:26:00Z</dcterms:created>
  <dcterms:modified xsi:type="dcterms:W3CDTF">2026-05-29T11:06:00Z</dcterms:modified>
</cp:coreProperties>
</file>