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8E9" w:rsidRPr="00187F74" w:rsidRDefault="00B468E9" w:rsidP="00187F74">
      <w:pPr>
        <w:pStyle w:val="NoSpacing"/>
        <w:rPr>
          <w:rFonts w:ascii="Times New Roman" w:hAnsi="Times New Roman" w:cs="Times New Roman"/>
          <w:b/>
          <w:sz w:val="32"/>
          <w:szCs w:val="32"/>
        </w:rPr>
      </w:pPr>
      <w:bookmarkStart w:id="0" w:name="_GoBack"/>
      <w:r w:rsidRPr="00187F74">
        <w:rPr>
          <w:rFonts w:ascii="Times New Roman" w:hAnsi="Times New Roman" w:cs="Times New Roman"/>
          <w:b/>
          <w:sz w:val="32"/>
          <w:szCs w:val="32"/>
        </w:rPr>
        <w:t>Digital Intimacy and Divorce</w:t>
      </w:r>
      <w:bookmarkEnd w:id="0"/>
      <w:r w:rsidRPr="00187F74">
        <w:rPr>
          <w:rFonts w:ascii="Times New Roman" w:hAnsi="Times New Roman" w:cs="Times New Roman"/>
          <w:b/>
          <w:sz w:val="32"/>
          <w:szCs w:val="32"/>
        </w:rPr>
        <w:t>: The Evidentiary Value of Socia</w:t>
      </w:r>
      <w:r w:rsidR="00187F74">
        <w:rPr>
          <w:rFonts w:ascii="Times New Roman" w:hAnsi="Times New Roman" w:cs="Times New Roman"/>
          <w:b/>
          <w:sz w:val="32"/>
          <w:szCs w:val="32"/>
        </w:rPr>
        <w:t>l Media in Matrimonial Disputes</w:t>
      </w:r>
    </w:p>
    <w:p w:rsidR="00B468E9" w:rsidRPr="00243CAE" w:rsidRDefault="00243CAE" w:rsidP="00AD4F1F">
      <w:pPr>
        <w:spacing w:line="360" w:lineRule="auto"/>
        <w:ind w:left="2160"/>
        <w:rPr>
          <w:rFonts w:ascii="Times New Roman" w:hAnsi="Times New Roman" w:cs="Times New Roman"/>
          <w:b/>
          <w:i/>
          <w:sz w:val="24"/>
          <w:szCs w:val="24"/>
        </w:rPr>
      </w:pPr>
      <w:r w:rsidRPr="00243CAE">
        <w:rPr>
          <w:rFonts w:ascii="Times New Roman" w:hAnsi="Times New Roman" w:cs="Times New Roman"/>
          <w:b/>
          <w:i/>
          <w:sz w:val="24"/>
          <w:szCs w:val="24"/>
        </w:rPr>
        <w:t>Suchita Gulyani</w:t>
      </w:r>
      <w:r w:rsidR="000E2B98">
        <w:rPr>
          <w:rStyle w:val="FootnoteReference"/>
          <w:rFonts w:ascii="Times New Roman" w:hAnsi="Times New Roman" w:cs="Times New Roman"/>
          <w:b/>
          <w:i/>
          <w:sz w:val="24"/>
          <w:szCs w:val="24"/>
        </w:rPr>
        <w:footnoteReference w:id="2"/>
      </w:r>
    </w:p>
    <w:p w:rsidR="00B468E9" w:rsidRPr="000E2B98" w:rsidRDefault="00B468E9" w:rsidP="000E2B98">
      <w:pPr>
        <w:pStyle w:val="NoSpacing"/>
        <w:rPr>
          <w:rFonts w:ascii="Times New Roman" w:hAnsi="Times New Roman" w:cs="Times New Roman"/>
          <w:b/>
          <w:i/>
          <w:sz w:val="24"/>
          <w:szCs w:val="24"/>
          <w:u w:val="single"/>
        </w:rPr>
      </w:pPr>
      <w:r w:rsidRPr="000E2B98">
        <w:rPr>
          <w:rFonts w:ascii="Times New Roman" w:hAnsi="Times New Roman" w:cs="Times New Roman"/>
          <w:b/>
          <w:i/>
          <w:sz w:val="24"/>
          <w:szCs w:val="24"/>
          <w:u w:val="single"/>
        </w:rPr>
        <w:t>Abstract:</w:t>
      </w:r>
    </w:p>
    <w:p w:rsidR="00B51670" w:rsidRDefault="00F35640" w:rsidP="00243CAE">
      <w:pPr>
        <w:pStyle w:val="NoSpacing"/>
        <w:jc w:val="both"/>
        <w:rPr>
          <w:rFonts w:ascii="Times New Roman" w:hAnsi="Times New Roman" w:cs="Times New Roman"/>
          <w:sz w:val="24"/>
          <w:szCs w:val="24"/>
        </w:rPr>
      </w:pPr>
      <w:r w:rsidRPr="00243CAE">
        <w:rPr>
          <w:rFonts w:ascii="Times New Roman" w:hAnsi="Times New Roman" w:cs="Times New Roman"/>
          <w:sz w:val="24"/>
          <w:szCs w:val="24"/>
        </w:rPr>
        <w:t xml:space="preserve">The rapid growth of digital communication has changed the way close relationships work. This has led to the idea of "digital intimacy," where interactions on social media sites have a bigger and bigger effect on personal and marital dynamics. In matrimonial disputes, especially divorce cases, content disseminated on platforms like WhatsApp, Instagram, and Facebook has become a crucial form of evidence. This paper conducts a socio-legal analysis of the evidentiary significance of social media in matrimonial litigation in India, scrutinizing the manner in which courts interpret and accept such electronic records. </w:t>
      </w:r>
    </w:p>
    <w:p w:rsidR="00243CAE" w:rsidRPr="00243CAE" w:rsidRDefault="00243CAE" w:rsidP="00243CAE">
      <w:pPr>
        <w:pStyle w:val="NoSpacing"/>
        <w:jc w:val="both"/>
        <w:rPr>
          <w:rFonts w:ascii="Times New Roman" w:hAnsi="Times New Roman" w:cs="Times New Roman"/>
          <w:sz w:val="24"/>
          <w:szCs w:val="24"/>
        </w:rPr>
      </w:pPr>
    </w:p>
    <w:p w:rsidR="00F35640" w:rsidRDefault="00F35640" w:rsidP="00243CAE">
      <w:pPr>
        <w:pStyle w:val="NoSpacing"/>
        <w:jc w:val="both"/>
        <w:rPr>
          <w:rFonts w:ascii="Times New Roman" w:eastAsia="Times New Roman" w:hAnsi="Times New Roman" w:cs="Times New Roman"/>
          <w:sz w:val="24"/>
          <w:szCs w:val="24"/>
          <w:lang w:eastAsia="en-IN"/>
        </w:rPr>
      </w:pPr>
      <w:r w:rsidRPr="00243CAE">
        <w:rPr>
          <w:rFonts w:ascii="Times New Roman" w:eastAsia="Times New Roman" w:hAnsi="Times New Roman" w:cs="Times New Roman"/>
          <w:sz w:val="24"/>
          <w:szCs w:val="24"/>
          <w:lang w:eastAsia="en-IN"/>
        </w:rPr>
        <w:t>The study critically assesses the legal framework regulating digital evidence under the Indian Evidence Act, 1872, especially Section 65B, in conjunction with judicial rulings that have influenced the admissibility and reliability of electronic records. It also talks about privacy, authenticity, and the manipulation of digital content, showing how hard it is for courts to balance the value of evidence with people's rights. The paper also talks about how online behavior, like cheating in a virtual relationship, abusive communication, and public disclosures, is becoming more important in proving grounds like cruelty and adultery.</w:t>
      </w:r>
    </w:p>
    <w:p w:rsidR="00243CAE" w:rsidRPr="00243CAE" w:rsidRDefault="00243CAE" w:rsidP="00243CAE">
      <w:pPr>
        <w:pStyle w:val="NoSpacing"/>
        <w:jc w:val="both"/>
        <w:rPr>
          <w:rFonts w:ascii="Times New Roman" w:eastAsia="Times New Roman" w:hAnsi="Times New Roman" w:cs="Times New Roman"/>
          <w:sz w:val="24"/>
          <w:szCs w:val="24"/>
          <w:lang w:eastAsia="en-IN"/>
        </w:rPr>
      </w:pPr>
    </w:p>
    <w:p w:rsidR="00F35640" w:rsidRDefault="00F35640" w:rsidP="00243CAE">
      <w:pPr>
        <w:pStyle w:val="NoSpacing"/>
        <w:jc w:val="both"/>
        <w:rPr>
          <w:rFonts w:ascii="Times New Roman" w:hAnsi="Times New Roman" w:cs="Times New Roman"/>
          <w:sz w:val="24"/>
          <w:szCs w:val="24"/>
        </w:rPr>
      </w:pPr>
      <w:r w:rsidRPr="00243CAE">
        <w:rPr>
          <w:rFonts w:ascii="Times New Roman" w:hAnsi="Times New Roman" w:cs="Times New Roman"/>
          <w:sz w:val="24"/>
          <w:szCs w:val="24"/>
        </w:rPr>
        <w:t xml:space="preserve">The research highlights the necessity for more explicit procedural safeguards and judicial guidelines to guarantee equitable and uniform utilization of social media evidence by examining recent case law and </w:t>
      </w:r>
      <w:r w:rsidRPr="00243CAE">
        <w:rPr>
          <w:rFonts w:ascii="Times New Roman" w:hAnsi="Times New Roman" w:cs="Times New Roman"/>
          <w:sz w:val="24"/>
          <w:szCs w:val="24"/>
        </w:rPr>
        <w:lastRenderedPageBreak/>
        <w:t>emerging judicial trends. The paper concludes that although digital footprints are essential in contemporary matrimonial disputes, their evidentiary application necessitates careful regulation to avert misuse and safeguard the integrity of personal relationships in the digital era.</w:t>
      </w:r>
    </w:p>
    <w:p w:rsidR="00243CAE" w:rsidRPr="00243CAE" w:rsidRDefault="00243CAE" w:rsidP="00243CAE">
      <w:pPr>
        <w:pStyle w:val="NoSpacing"/>
        <w:jc w:val="both"/>
        <w:rPr>
          <w:rFonts w:ascii="Times New Roman" w:hAnsi="Times New Roman" w:cs="Times New Roman"/>
          <w:sz w:val="24"/>
          <w:szCs w:val="24"/>
        </w:rPr>
      </w:pPr>
    </w:p>
    <w:p w:rsidR="00F35640" w:rsidRPr="00243CAE" w:rsidRDefault="00F35640" w:rsidP="00243CAE">
      <w:pPr>
        <w:pStyle w:val="NoSpacing"/>
        <w:rPr>
          <w:rFonts w:ascii="Times New Roman" w:hAnsi="Times New Roman" w:cs="Times New Roman"/>
          <w:sz w:val="24"/>
          <w:szCs w:val="24"/>
        </w:rPr>
      </w:pPr>
      <w:r w:rsidRPr="00243CAE">
        <w:rPr>
          <w:rFonts w:ascii="Times New Roman" w:hAnsi="Times New Roman" w:cs="Times New Roman"/>
          <w:b/>
          <w:i/>
          <w:sz w:val="24"/>
          <w:szCs w:val="24"/>
        </w:rPr>
        <w:t>Keywords:</w:t>
      </w:r>
      <w:r w:rsidRPr="00243CAE">
        <w:rPr>
          <w:rFonts w:ascii="Times New Roman" w:hAnsi="Times New Roman" w:cs="Times New Roman"/>
          <w:sz w:val="24"/>
          <w:szCs w:val="24"/>
        </w:rPr>
        <w:t xml:space="preserve"> Social Media Evidence, Matrimonial Disputes, Electronic Records, Section 65B Indian Evidence Act, Digital Intimacy</w:t>
      </w:r>
    </w:p>
    <w:p w:rsidR="00F35640" w:rsidRDefault="00F35640">
      <w:pPr>
        <w:rPr>
          <w:rFonts w:ascii="Times New Roman" w:hAnsi="Times New Roman" w:cs="Times New Roman"/>
          <w:b/>
          <w:i/>
          <w:sz w:val="24"/>
          <w:szCs w:val="24"/>
        </w:rPr>
      </w:pPr>
    </w:p>
    <w:p w:rsidR="00F35640" w:rsidRPr="00923AFA" w:rsidRDefault="00F35640"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1. Introduction</w:t>
      </w:r>
    </w:p>
    <w:p w:rsidR="003C3D76" w:rsidRPr="003C3D76" w:rsidRDefault="003C3D76" w:rsidP="003C3D76">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3C3D76">
        <w:rPr>
          <w:rFonts w:ascii="Times New Roman" w:hAnsi="Times New Roman" w:cs="Times New Roman"/>
          <w:position w:val="-11"/>
          <w:sz w:val="112"/>
          <w:szCs w:val="24"/>
        </w:rPr>
        <w:t>I</w:t>
      </w:r>
    </w:p>
    <w:p w:rsidR="00F35640" w:rsidRDefault="00F35640"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n the digital age, the institution of marriage, which has long been seen as a sacred and lasting social union, has changed a lot. The widespread use of smartphones, the internet, and social networking sites like WhatsApp, Facebook, and Instagram has changed the way people talk to each other in marriage fundamentally. These platforms have made it possible for people to interact with each other all the time, which has led to the idea of "digital intimacy," which is a type of emotional and personal connection that happens through electronic means. This change has not only changed how people relate to each other, but it has also made it harder to settle marriage disputes.</w:t>
      </w:r>
    </w:p>
    <w:p w:rsidR="00923AFA" w:rsidRPr="00923AFA" w:rsidRDefault="00923AFA" w:rsidP="00923AFA">
      <w:pPr>
        <w:pStyle w:val="NoSpacing"/>
        <w:jc w:val="both"/>
        <w:rPr>
          <w:rFonts w:ascii="Times New Roman" w:hAnsi="Times New Roman" w:cs="Times New Roman"/>
          <w:sz w:val="24"/>
          <w:szCs w:val="24"/>
        </w:rPr>
      </w:pPr>
    </w:p>
    <w:p w:rsidR="00F35640" w:rsidRDefault="00F35640"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In modern India, divorce cases and other matrimonial litigation are increasingly dependent on digital evidence, such as text messages, emails, call records, photographs, and social media posts. People often use these electronic records to back up claims of cruelty, cheating, abandonment, and mental abuse. In a time when people's actions are often recorded and kept in virtual spaces, the evidence these digital interactions provide is becoming more and more important. As a result, courts are more and more often asked to look at and interpret this kind of evidence in light of the rules of evidence that are already in place.</w:t>
      </w:r>
    </w:p>
    <w:p w:rsidR="00923AFA" w:rsidRPr="00923AFA" w:rsidRDefault="00923AFA" w:rsidP="00923AFA">
      <w:pPr>
        <w:pStyle w:val="NoSpacing"/>
        <w:jc w:val="both"/>
        <w:rPr>
          <w:rFonts w:ascii="Times New Roman" w:hAnsi="Times New Roman" w:cs="Times New Roman"/>
          <w:sz w:val="24"/>
          <w:szCs w:val="24"/>
        </w:rPr>
      </w:pPr>
    </w:p>
    <w:p w:rsidR="00F35640" w:rsidRDefault="00F35640" w:rsidP="00923AFA">
      <w:pPr>
        <w:pStyle w:val="NoSpacing"/>
        <w:jc w:val="both"/>
        <w:rPr>
          <w:sz w:val="24"/>
        </w:rPr>
      </w:pPr>
      <w:r w:rsidRPr="00923AFA">
        <w:rPr>
          <w:rFonts w:ascii="Times New Roman" w:hAnsi="Times New Roman" w:cs="Times New Roman"/>
          <w:sz w:val="24"/>
          <w:szCs w:val="24"/>
        </w:rPr>
        <w:lastRenderedPageBreak/>
        <w:t>The Indian Evidence Act of 1872, as changed by the Information Technology Act of 2000</w:t>
      </w:r>
      <w:r w:rsidRPr="00923AFA">
        <w:rPr>
          <w:rStyle w:val="FootnoteReference"/>
          <w:rFonts w:ascii="Times New Roman" w:hAnsi="Times New Roman" w:cs="Times New Roman"/>
          <w:sz w:val="24"/>
          <w:szCs w:val="24"/>
        </w:rPr>
        <w:footnoteReference w:id="3"/>
      </w:r>
      <w:r w:rsidRPr="00923AFA">
        <w:rPr>
          <w:rFonts w:ascii="Times New Roman" w:hAnsi="Times New Roman" w:cs="Times New Roman"/>
          <w:sz w:val="24"/>
          <w:szCs w:val="24"/>
        </w:rPr>
        <w:t>, is the main law that governs the legal use of electronic evidence in India.Section 65B of the Evidence Act sets out certain conditions that must be met for electronic records to be accepted as evidence. One of these conditions is that a certificate must be provided to prove that the records are real and trustworthy</w:t>
      </w:r>
      <w:r w:rsidRPr="00923AFA">
        <w:rPr>
          <w:rStyle w:val="FootnoteReference"/>
          <w:rFonts w:ascii="Times New Roman" w:hAnsi="Times New Roman" w:cs="Times New Roman"/>
          <w:sz w:val="24"/>
          <w:szCs w:val="24"/>
        </w:rPr>
        <w:footnoteReference w:id="4"/>
      </w:r>
      <w:r w:rsidRPr="00923AFA">
        <w:rPr>
          <w:rFonts w:ascii="Times New Roman" w:hAnsi="Times New Roman" w:cs="Times New Roman"/>
          <w:sz w:val="24"/>
          <w:szCs w:val="24"/>
        </w:rPr>
        <w:t>. This rule was put in place to stop tampering and manipulation, but its strict use has often made things harder in divorce cases, where people may not know how to use technology or have access to the original devices.</w:t>
      </w:r>
      <w:r w:rsidR="00DC3DAF" w:rsidRPr="00923AFA">
        <w:rPr>
          <w:rFonts w:ascii="Times New Roman" w:hAnsi="Times New Roman" w:cs="Times New Roman"/>
          <w:sz w:val="24"/>
          <w:szCs w:val="24"/>
        </w:rPr>
        <w:t xml:space="preserve">Judicial pronouncements have been very important in how electronic evidence is understood. The Supreme Court stressed that Section 65B certification is required for admissibility in </w:t>
      </w:r>
      <w:r w:rsidR="00DC3DAF" w:rsidRPr="00923AFA">
        <w:rPr>
          <w:rFonts w:ascii="Times New Roman" w:hAnsi="Times New Roman" w:cs="Times New Roman"/>
          <w:i/>
          <w:sz w:val="24"/>
          <w:szCs w:val="24"/>
        </w:rPr>
        <w:t>Anvar P.V. v. P.K. Basheer</w:t>
      </w:r>
      <w:r w:rsidR="00DC3DAF" w:rsidRPr="00923AFA">
        <w:rPr>
          <w:rStyle w:val="FootnoteReference"/>
          <w:rFonts w:ascii="Times New Roman" w:hAnsi="Times New Roman" w:cs="Times New Roman"/>
          <w:sz w:val="24"/>
          <w:szCs w:val="24"/>
        </w:rPr>
        <w:footnoteReference w:id="5"/>
      </w:r>
      <w:r w:rsidR="00DC3DAF" w:rsidRPr="00923AFA">
        <w:rPr>
          <w:rFonts w:ascii="Times New Roman" w:hAnsi="Times New Roman" w:cs="Times New Roman"/>
          <w:sz w:val="24"/>
          <w:szCs w:val="24"/>
        </w:rPr>
        <w:t xml:space="preserve">.Later decisions, like </w:t>
      </w:r>
      <w:r w:rsidR="00DC3DAF" w:rsidRPr="00923AFA">
        <w:rPr>
          <w:rFonts w:ascii="Times New Roman" w:hAnsi="Times New Roman" w:cs="Times New Roman"/>
          <w:i/>
          <w:sz w:val="24"/>
          <w:szCs w:val="24"/>
        </w:rPr>
        <w:t>Shafhi Mohammad v. State of Himachal Pradesh</w:t>
      </w:r>
      <w:r w:rsidR="00DC3DAF" w:rsidRPr="00923AFA">
        <w:rPr>
          <w:rStyle w:val="FootnoteReference"/>
          <w:rFonts w:ascii="Times New Roman" w:hAnsi="Times New Roman" w:cs="Times New Roman"/>
          <w:sz w:val="24"/>
          <w:szCs w:val="24"/>
        </w:rPr>
        <w:footnoteReference w:id="6"/>
      </w:r>
      <w:r w:rsidR="00DC3DAF" w:rsidRPr="00923AFA">
        <w:rPr>
          <w:rFonts w:ascii="Times New Roman" w:hAnsi="Times New Roman" w:cs="Times New Roman"/>
          <w:sz w:val="24"/>
          <w:szCs w:val="24"/>
        </w:rPr>
        <w:t xml:space="preserve">, tried to make this rule less strict in some cases, which caused confusion in the law.The problem was finally made clear in </w:t>
      </w:r>
      <w:r w:rsidR="00DC3DAF" w:rsidRPr="00923AFA">
        <w:rPr>
          <w:rFonts w:ascii="Times New Roman" w:hAnsi="Times New Roman" w:cs="Times New Roman"/>
          <w:i/>
          <w:sz w:val="24"/>
          <w:szCs w:val="24"/>
        </w:rPr>
        <w:t>Arjun PanditraoKhotkar v. KailashKushanraoGorantyal</w:t>
      </w:r>
      <w:r w:rsidR="00DC3DAF" w:rsidRPr="00923AFA">
        <w:rPr>
          <w:rStyle w:val="FootnoteReference"/>
          <w:rFonts w:ascii="Times New Roman" w:hAnsi="Times New Roman" w:cs="Times New Roman"/>
          <w:i/>
          <w:sz w:val="24"/>
          <w:szCs w:val="24"/>
        </w:rPr>
        <w:footnoteReference w:id="7"/>
      </w:r>
      <w:r w:rsidR="00DC3DAF" w:rsidRPr="00923AFA">
        <w:rPr>
          <w:rFonts w:ascii="Times New Roman" w:hAnsi="Times New Roman" w:cs="Times New Roman"/>
          <w:sz w:val="24"/>
          <w:szCs w:val="24"/>
        </w:rPr>
        <w:t>,</w:t>
      </w:r>
      <w:r w:rsidR="00DC3DAF" w:rsidRPr="00DC3DAF">
        <w:rPr>
          <w:sz w:val="24"/>
        </w:rPr>
        <w:t xml:space="preserve"> when the Court said again that Section 65B must be followed strictly.  These events show how digital evidence law is always changing and often up for debate in India.</w:t>
      </w:r>
    </w:p>
    <w:p w:rsidR="00923AFA" w:rsidRDefault="00923AFA" w:rsidP="00923AFA">
      <w:pPr>
        <w:pStyle w:val="NoSpacing"/>
        <w:jc w:val="both"/>
        <w:rPr>
          <w:sz w:val="24"/>
        </w:rPr>
      </w:pP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xml:space="preserve">In addition to procedural issues, using social media evidence in divorce cases raises serious privacy and ethical issues. </w:t>
      </w:r>
      <w:r w:rsidRPr="00923AFA">
        <w:rPr>
          <w:rFonts w:ascii="Times New Roman" w:hAnsi="Times New Roman" w:cs="Times New Roman"/>
          <w:i/>
          <w:sz w:val="24"/>
          <w:szCs w:val="24"/>
        </w:rPr>
        <w:t>Justice K.S. Puttaswamy v. Union of India's</w:t>
      </w:r>
      <w:r w:rsidRPr="00923AFA">
        <w:rPr>
          <w:rStyle w:val="FootnoteReference"/>
          <w:rFonts w:ascii="Times New Roman" w:hAnsi="Times New Roman" w:cs="Times New Roman"/>
          <w:i/>
          <w:color w:val="000000" w:themeColor="text1"/>
          <w:sz w:val="24"/>
          <w:szCs w:val="24"/>
        </w:rPr>
        <w:footnoteReference w:id="8"/>
      </w:r>
      <w:r w:rsidRPr="00923AFA">
        <w:rPr>
          <w:rFonts w:ascii="Times New Roman" w:hAnsi="Times New Roman" w:cs="Times New Roman"/>
          <w:sz w:val="24"/>
          <w:szCs w:val="24"/>
        </w:rPr>
        <w:t xml:space="preserve"> acknowledgment of privacy as a fundamental right has introduced a novel aspect to this discussion.  Courts now have </w:t>
      </w:r>
      <w:r w:rsidRPr="00923AFA">
        <w:rPr>
          <w:rFonts w:ascii="Times New Roman" w:hAnsi="Times New Roman" w:cs="Times New Roman"/>
          <w:sz w:val="24"/>
          <w:szCs w:val="24"/>
        </w:rPr>
        <w:lastRenderedPageBreak/>
        <w:t>to find a delicate balance between the usefulness of digital evidence and the need to protect people's privacy, especially when it comes to personal communications between spouses.</w:t>
      </w:r>
    </w:p>
    <w:p w:rsidR="00DC3DAF"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idea of "digital intimacy" also raises new legal issues that go against old ideas of marital fault. Online interactions like virtual infidelity, emotional affairs carried out via messaging platforms, or public displays of marital discord may not conform to traditional legal classifications, yet they possess significant ramifications for marital stability. To use this kind of behaviour as evidence, you need to have a deep understanding of both social and technological realities.</w:t>
      </w:r>
    </w:p>
    <w:p w:rsidR="00923AFA" w:rsidRPr="00923AFA" w:rsidRDefault="00923AFA" w:rsidP="00923AFA">
      <w:pPr>
        <w:pStyle w:val="NoSpacing"/>
        <w:jc w:val="both"/>
        <w:rPr>
          <w:rFonts w:ascii="Times New Roman" w:hAnsi="Times New Roman" w:cs="Times New Roman"/>
          <w:sz w:val="24"/>
          <w:szCs w:val="24"/>
        </w:rPr>
      </w:pPr>
    </w:p>
    <w:p w:rsidR="00DC3DAF"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This paper aims to analyze the evidentiary significance of social media in matrimonial disputes from a socio-legal perspective. It seeks to examine the legal framework that governs electronic evidence, assess judicial methodologies, and pinpoint significant challenges concerning admissibility, authenticity, and privacy. The study situates digital intimacy within the broader context of family law, underscoring the necessity for legal reforms and judicial sensitivity in navigating the complexities of the digital era.</w:t>
      </w:r>
    </w:p>
    <w:p w:rsidR="00923AFA" w:rsidRPr="00923AFA" w:rsidRDefault="00923AFA" w:rsidP="00923AFA">
      <w:pPr>
        <w:pStyle w:val="NoSpacing"/>
        <w:jc w:val="both"/>
        <w:rPr>
          <w:rFonts w:ascii="Times New Roman" w:hAnsi="Times New Roman" w:cs="Times New Roman"/>
          <w:sz w:val="24"/>
          <w:szCs w:val="24"/>
        </w:rPr>
      </w:pPr>
    </w:p>
    <w:p w:rsidR="00DC3DAF" w:rsidRPr="00923AFA" w:rsidRDefault="00DC3DAF"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2. Objectives of the Study</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current study aims to investigate the increasing significance of digital interactions in marital conflicts, focusing specifically on the evidentiary importance of social media. The study's specific goals are as follows:</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1. To examine the notion of digital intimacy and its influence on contemporary marital relationships.</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2. To look at the laws in India that govern the use of electronic evidence, especially the Indian Evidence Act of 1872.</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3. To assess the influence of social media content in substantiating grounds for divorce, including cruelty, adultery, and desertion.</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lastRenderedPageBreak/>
        <w:t>4. To examine judicial methodologies and interpretations concerning electronic evidence in matrimonial conflicts.</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5. To find problems with the authenticity, admissibility, and privacy of digital evidence.</w:t>
      </w:r>
    </w:p>
    <w:p w:rsidR="00DC3DAF"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6. To recommend changes that will make sure that family law cases use social media evidence fairly and consistently.</w:t>
      </w:r>
    </w:p>
    <w:p w:rsidR="00923AFA" w:rsidRPr="00923AFA" w:rsidRDefault="00923AFA" w:rsidP="00923AFA">
      <w:pPr>
        <w:pStyle w:val="NoSpacing"/>
        <w:jc w:val="both"/>
        <w:rPr>
          <w:rFonts w:ascii="Times New Roman" w:hAnsi="Times New Roman" w:cs="Times New Roman"/>
          <w:sz w:val="24"/>
          <w:szCs w:val="24"/>
        </w:rPr>
      </w:pPr>
    </w:p>
    <w:p w:rsidR="00DC3DAF" w:rsidRPr="00923AFA" w:rsidRDefault="00DC3DAF"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3. ResearchQuestions</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research is directed by the subsequent inquiries:</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1. What is the essence and extent of “digital intimacy” within matrimonial relationships?</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2. How does Indian law control the use of social media and electronic evidence in divorce cases?</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3. How much can social media interactions be used to prove marital wrongdoing like adultery or cruelty?</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4. What are the most important trends in the courts when it comes to using electronic evidence in family disputes?</w:t>
      </w:r>
    </w:p>
    <w:p w:rsidR="00DC3DAF" w:rsidRPr="00923AFA"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5. What problems come up with the authenticity, manipulation, and privacy of digital evidence?</w:t>
      </w:r>
    </w:p>
    <w:p w:rsidR="00F35640"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6. What changes can be made to the law to deal with the new problems that digital evidence is causing in divorce cases?</w:t>
      </w:r>
    </w:p>
    <w:p w:rsidR="00923AFA" w:rsidRPr="00923AFA" w:rsidRDefault="00923AFA" w:rsidP="00923AFA">
      <w:pPr>
        <w:pStyle w:val="NoSpacing"/>
        <w:jc w:val="both"/>
        <w:rPr>
          <w:rFonts w:ascii="Times New Roman" w:hAnsi="Times New Roman" w:cs="Times New Roman"/>
          <w:sz w:val="24"/>
          <w:szCs w:val="24"/>
        </w:rPr>
      </w:pPr>
    </w:p>
    <w:p w:rsidR="00DC3DAF" w:rsidRPr="00923AFA" w:rsidRDefault="00DC3DAF"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4. Research</w:t>
      </w:r>
      <w:r w:rsidR="009E53F6" w:rsidRPr="00923AFA">
        <w:rPr>
          <w:rFonts w:ascii="Times New Roman" w:hAnsi="Times New Roman" w:cs="Times New Roman"/>
          <w:b/>
          <w:sz w:val="24"/>
          <w:szCs w:val="24"/>
        </w:rPr>
        <w:t>Methodology</w:t>
      </w:r>
    </w:p>
    <w:p w:rsidR="00DC3DAF"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This research employs a doctrinal and analytical methodology, predominantly relying on secondary data sources. The study utilizes statutes, judicial rulings, and academic literature to analyze the legal framework concerning electronic evidence in matrimonial conflicts.</w:t>
      </w:r>
    </w:p>
    <w:p w:rsidR="00923AFA" w:rsidRPr="00923AFA" w:rsidRDefault="00923AFA" w:rsidP="00923AFA">
      <w:pPr>
        <w:pStyle w:val="NoSpacing"/>
        <w:jc w:val="both"/>
        <w:rPr>
          <w:rFonts w:ascii="Times New Roman" w:hAnsi="Times New Roman" w:cs="Times New Roman"/>
          <w:sz w:val="24"/>
          <w:szCs w:val="24"/>
        </w:rPr>
      </w:pPr>
    </w:p>
    <w:p w:rsidR="00DC3DAF" w:rsidRPr="00923AFA" w:rsidRDefault="009E53F6"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4.1 Nature of Study</w:t>
      </w:r>
    </w:p>
    <w:p w:rsidR="00DC3DAF" w:rsidRDefault="00DC3DAF"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research is qualitative, concentrating on legal principles, judicial interpretations, and the socio-legal ramifications of digital intimacy.</w:t>
      </w:r>
    </w:p>
    <w:p w:rsidR="00923AFA" w:rsidRDefault="00923AFA" w:rsidP="00923AFA">
      <w:pPr>
        <w:pStyle w:val="NoSpacing"/>
        <w:jc w:val="both"/>
        <w:rPr>
          <w:rFonts w:ascii="Times New Roman" w:hAnsi="Times New Roman" w:cs="Times New Roman"/>
          <w:sz w:val="24"/>
          <w:szCs w:val="24"/>
        </w:rPr>
      </w:pPr>
    </w:p>
    <w:p w:rsidR="00923AFA" w:rsidRPr="00923AFA" w:rsidRDefault="00923AFA" w:rsidP="00923AFA">
      <w:pPr>
        <w:pStyle w:val="NoSpacing"/>
        <w:jc w:val="both"/>
        <w:rPr>
          <w:rFonts w:ascii="Times New Roman" w:hAnsi="Times New Roman" w:cs="Times New Roman"/>
          <w:sz w:val="24"/>
          <w:szCs w:val="24"/>
        </w:rPr>
      </w:pPr>
    </w:p>
    <w:p w:rsidR="009E53F6" w:rsidRPr="00923AFA" w:rsidRDefault="009E53F6"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4.2 Sources of Data</w:t>
      </w:r>
    </w:p>
    <w:p w:rsidR="009E53F6" w:rsidRPr="00923AFA"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lastRenderedPageBreak/>
        <w:t>Primary Sources:</w:t>
      </w:r>
      <w:r w:rsidRPr="00923AFA">
        <w:rPr>
          <w:rFonts w:ascii="Times New Roman" w:hAnsi="Times New Roman" w:cs="Times New Roman"/>
          <w:sz w:val="24"/>
          <w:szCs w:val="24"/>
        </w:rPr>
        <w:cr/>
        <w:t>• Indian Evidence Act, 1872</w:t>
      </w:r>
    </w:p>
    <w:p w:rsidR="009E53F6" w:rsidRPr="00923AFA"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The Information Technology Act of 2000</w:t>
      </w:r>
    </w:p>
    <w:p w:rsidR="009E53F6" w:rsidRPr="00923AFA"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Important Supreme Court and High Court case laws</w:t>
      </w:r>
    </w:p>
    <w:p w:rsidR="009E53F6" w:rsidRPr="00923AFA"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Sources that are not primary:</w:t>
      </w:r>
    </w:p>
    <w:p w:rsidR="009E53F6" w:rsidRPr="00923AFA"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Books, journals, research papers, and commentaries on family law and evidence</w:t>
      </w:r>
    </w:p>
    <w:p w:rsidR="009E53F6" w:rsidRPr="00923AFA"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Reports from the Law Commission</w:t>
      </w:r>
    </w:p>
    <w:p w:rsidR="009E53F6"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Legal databases and scholarly journals that are available online</w:t>
      </w:r>
    </w:p>
    <w:p w:rsidR="00923AFA" w:rsidRPr="00923AFA" w:rsidRDefault="00923AFA" w:rsidP="00923AFA">
      <w:pPr>
        <w:pStyle w:val="NoSpacing"/>
        <w:jc w:val="both"/>
        <w:rPr>
          <w:rFonts w:ascii="Times New Roman" w:hAnsi="Times New Roman" w:cs="Times New Roman"/>
          <w:sz w:val="24"/>
          <w:szCs w:val="24"/>
        </w:rPr>
      </w:pPr>
    </w:p>
    <w:p w:rsidR="009E53F6" w:rsidRPr="00923AFA" w:rsidRDefault="009E53F6"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4.3 Method of Analysis</w:t>
      </w:r>
    </w:p>
    <w:p w:rsidR="00DC3DAF"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study utilizes a critical and comparative methodology to examine statutory provisions and judicial rulings. It also looks at how law, technology, and society come together to better understand how marriage disputes are changing in the digital age.</w:t>
      </w:r>
    </w:p>
    <w:p w:rsidR="00923AFA" w:rsidRPr="00923AFA" w:rsidRDefault="00923AFA" w:rsidP="00923AFA">
      <w:pPr>
        <w:pStyle w:val="NoSpacing"/>
        <w:jc w:val="both"/>
        <w:rPr>
          <w:rFonts w:ascii="Times New Roman" w:hAnsi="Times New Roman" w:cs="Times New Roman"/>
          <w:sz w:val="24"/>
          <w:szCs w:val="24"/>
        </w:rPr>
      </w:pPr>
    </w:p>
    <w:p w:rsidR="009E53F6" w:rsidRPr="00923AFA" w:rsidRDefault="009E53F6"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4.4 Scope and Limitations</w:t>
      </w:r>
    </w:p>
    <w:p w:rsidR="009E53F6"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study is limited to the Indian legal framework, with minimal references to international practices for comparative analysis. It does not entail empirical data collection; consequently, the findings are predicated on doctrinal interpretation and existing literature.</w:t>
      </w:r>
    </w:p>
    <w:p w:rsidR="00923AFA" w:rsidRPr="00923AFA" w:rsidRDefault="00923AFA" w:rsidP="00923AFA">
      <w:pPr>
        <w:pStyle w:val="NoSpacing"/>
        <w:jc w:val="both"/>
        <w:rPr>
          <w:rFonts w:ascii="Times New Roman" w:hAnsi="Times New Roman" w:cs="Times New Roman"/>
          <w:sz w:val="24"/>
          <w:szCs w:val="24"/>
        </w:rPr>
      </w:pPr>
    </w:p>
    <w:p w:rsidR="009E53F6" w:rsidRPr="00923AFA" w:rsidRDefault="009E53F6"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5. The idea of digital intimacy</w:t>
      </w:r>
    </w:p>
    <w:p w:rsidR="009E53F6"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notion of "digital intimacy" has surfaced as a notable phenomenon in the modern digital era, signifying the evolution of interpersonal relationships via technology-mediated communication. Digital intimacy includes emotional, romantic, and personal exchanges that happen through electronic platforms like messaging apps, social networking sites, and video communication tools. This is different from traditional forms of intimacy, which were mostly limited to physical closeness and direct interaction.</w:t>
      </w:r>
    </w:p>
    <w:p w:rsidR="00923AFA" w:rsidRPr="00923AFA" w:rsidRDefault="00923AFA" w:rsidP="00923AFA">
      <w:pPr>
        <w:pStyle w:val="NoSpacing"/>
        <w:jc w:val="both"/>
        <w:rPr>
          <w:rFonts w:ascii="Times New Roman" w:hAnsi="Times New Roman" w:cs="Times New Roman"/>
          <w:sz w:val="24"/>
          <w:szCs w:val="24"/>
        </w:rPr>
      </w:pPr>
    </w:p>
    <w:p w:rsidR="009E53F6" w:rsidRDefault="009E53F6"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xml:space="preserve">Digital intimacy serves a dual function in the realm of matrimonial relationships. It helps spouses talk to each other and feel close to each other, especially when they are living in different places. On the other </w:t>
      </w:r>
      <w:r w:rsidRPr="00923AFA">
        <w:rPr>
          <w:rFonts w:ascii="Times New Roman" w:hAnsi="Times New Roman" w:cs="Times New Roman"/>
          <w:sz w:val="24"/>
          <w:szCs w:val="24"/>
        </w:rPr>
        <w:lastRenderedPageBreak/>
        <w:t>hand, it adds new layers of conflict because digital platforms can lead to misunderstandings, emotional distance, or even cheating. Digital communication is easy to get to, anonymous, and permanent. These things can make marriages stronger or weaker.</w:t>
      </w:r>
    </w:p>
    <w:p w:rsidR="00923AFA" w:rsidRPr="00923AFA" w:rsidRDefault="00923AFA" w:rsidP="00923AFA">
      <w:pPr>
        <w:pStyle w:val="NoSpacing"/>
        <w:jc w:val="both"/>
        <w:rPr>
          <w:rFonts w:ascii="Times New Roman" w:hAnsi="Times New Roman" w:cs="Times New Roman"/>
          <w:sz w:val="24"/>
          <w:szCs w:val="24"/>
        </w:rPr>
      </w:pPr>
    </w:p>
    <w:p w:rsidR="009E53F6" w:rsidRDefault="009E53F6" w:rsidP="00923AFA">
      <w:pPr>
        <w:pStyle w:val="NoSpacing"/>
        <w:jc w:val="both"/>
      </w:pPr>
      <w:r w:rsidRPr="00923AFA">
        <w:rPr>
          <w:rFonts w:ascii="Times New Roman" w:hAnsi="Times New Roman" w:cs="Times New Roman"/>
          <w:sz w:val="24"/>
          <w:szCs w:val="24"/>
        </w:rPr>
        <w:t>The concept of "virtual infidelity" is one of the most talked-about parts of digital intimacy. Unlike traditional adultery, which usually involves physical involvement, virtual infidelity is when someone has an emotional or romantic relationship with someone else online. More and more, courts in India are seeing cases where chat records, emails, or social media exchanges are used as evidence for divorce. Indian law usually requires proof of physical adultery, but courts have been open to the idea that digital behavior can be a sign of mental cruelty or a breach of trust in a marriage</w:t>
      </w:r>
      <w:r w:rsidRPr="00923AFA">
        <w:rPr>
          <w:rStyle w:val="FootnoteReference"/>
          <w:rFonts w:ascii="Times New Roman" w:hAnsi="Times New Roman" w:cs="Times New Roman"/>
          <w:sz w:val="24"/>
          <w:szCs w:val="24"/>
        </w:rPr>
        <w:footnoteReference w:id="9"/>
      </w:r>
      <w:r w:rsidRPr="00923AFA">
        <w:rPr>
          <w:rFonts w:ascii="Times New Roman" w:hAnsi="Times New Roman" w:cs="Times New Roman"/>
          <w:sz w:val="24"/>
          <w:szCs w:val="24"/>
        </w:rPr>
        <w:t>. Additionally, digital intimacy can also show up as online harassment, public shaming, or sharing private information, which can be a form of mental cruelty. The fact that social media is open to everyone makes this kind of behavior even</w:t>
      </w:r>
      <w:r w:rsidRPr="009E53F6">
        <w:t xml:space="preserve"> worse, often hurting people's reputations and causing them emotional pain. In numerous matrimonial disputes, courts have acknowledged that abusive or defamatory material disseminated online by one spouse against the other may constitute cruelty</w:t>
      </w:r>
      <w:r>
        <w:rPr>
          <w:rStyle w:val="FootnoteReference"/>
          <w:rFonts w:ascii="Times New Roman" w:hAnsi="Times New Roman" w:cs="Times New Roman"/>
          <w:sz w:val="24"/>
          <w:szCs w:val="24"/>
        </w:rPr>
        <w:footnoteReference w:id="10"/>
      </w:r>
      <w:r w:rsidRPr="009E53F6">
        <w:t>.</w:t>
      </w:r>
    </w:p>
    <w:p w:rsidR="009E53F6"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xml:space="preserve">The permanence and traceability of electronic communication is another important part of digital intimacy. Digital interactions leave behind a record that can be found and used as proof, unlike conversations that happen in person. This feature has a big effect on marriage lawsuits because more and more people use these kinds of records to back up their claims. But this also makes people worry about selective presentation, changing the context, and invading privacy. The </w:t>
      </w:r>
      <w:r w:rsidRPr="00923AFA">
        <w:rPr>
          <w:rFonts w:ascii="Times New Roman" w:hAnsi="Times New Roman" w:cs="Times New Roman"/>
          <w:sz w:val="24"/>
          <w:szCs w:val="24"/>
        </w:rPr>
        <w:lastRenderedPageBreak/>
        <w:t>changing nature of digital intimacy puts traditional ideas of marriage and marital fault to the test. It forces courts to look at old laws in light of new social realities, where technology is playing a bigger role in the emotional and psychological parts of relationships. Consequently, there is an increasing demand for a sophisticated legal comprehension that recognizes the intricacies of digital interactions while upholding fairness and justice in matrimonial proceedings.</w:t>
      </w:r>
    </w:p>
    <w:p w:rsidR="00923AFA" w:rsidRPr="00923AFA" w:rsidRDefault="00923AFA" w:rsidP="00923AFA">
      <w:pPr>
        <w:pStyle w:val="NoSpacing"/>
        <w:jc w:val="both"/>
        <w:rPr>
          <w:rFonts w:ascii="Times New Roman" w:hAnsi="Times New Roman" w:cs="Times New Roman"/>
          <w:sz w:val="24"/>
          <w:szCs w:val="24"/>
        </w:rPr>
      </w:pPr>
    </w:p>
    <w:p w:rsidR="00B53E47" w:rsidRPr="00923AFA" w:rsidRDefault="00B53E47"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6. The law that governs electronic evidence in India</w:t>
      </w:r>
    </w:p>
    <w:p w:rsidR="00B53E47"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As people rely more and more on digital communication in their personal lives, the rules about what electronic evidence can be used in court have had to change. The Indian Evidence Act of 1872, as changed by the Information Technology Act of 2000, is the main law in India that governs electronic records. These laws are meant to make sure that electronic evidence is both reliable and real, while also adapting old rules about evidence to new technologies.</w:t>
      </w:r>
    </w:p>
    <w:p w:rsidR="00923AFA" w:rsidRPr="00923AFA" w:rsidRDefault="00923AFA" w:rsidP="00923AFA">
      <w:pPr>
        <w:pStyle w:val="NoSpacing"/>
        <w:jc w:val="both"/>
        <w:rPr>
          <w:rFonts w:ascii="Times New Roman" w:hAnsi="Times New Roman" w:cs="Times New Roman"/>
          <w:sz w:val="24"/>
          <w:szCs w:val="24"/>
        </w:rPr>
      </w:pPr>
    </w:p>
    <w:p w:rsidR="00B53E47"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addition of Sections 65A and 65B to the Indian Evidence Act of 1872 was a big step forward in this area. According to Section 65A, the contents of electronic records can be proven according to the rules in Section 65B</w:t>
      </w:r>
      <w:r w:rsidRPr="00923AFA">
        <w:rPr>
          <w:rStyle w:val="FootnoteReference"/>
          <w:rFonts w:ascii="Times New Roman" w:hAnsi="Times New Roman" w:cs="Times New Roman"/>
          <w:sz w:val="24"/>
          <w:szCs w:val="24"/>
        </w:rPr>
        <w:footnoteReference w:id="11"/>
      </w:r>
      <w:r w:rsidRPr="00923AFA">
        <w:rPr>
          <w:rFonts w:ascii="Times New Roman" w:hAnsi="Times New Roman" w:cs="Times New Roman"/>
          <w:sz w:val="24"/>
          <w:szCs w:val="24"/>
        </w:rPr>
        <w:t>.Section 65B sets out the exact conditions under which electronic records can be used as evidence. It says that any information in an electronic record that is printed, stored, or copied must come with a certificate that says what kind of electronic device it is, how the record was made, and that it is real</w:t>
      </w:r>
      <w:r w:rsidRPr="00923AFA">
        <w:rPr>
          <w:rStyle w:val="FootnoteReference"/>
          <w:rFonts w:ascii="Times New Roman" w:hAnsi="Times New Roman" w:cs="Times New Roman"/>
          <w:sz w:val="24"/>
          <w:szCs w:val="24"/>
        </w:rPr>
        <w:footnoteReference w:id="12"/>
      </w:r>
      <w:r w:rsidRPr="00923AFA">
        <w:rPr>
          <w:rFonts w:ascii="Times New Roman" w:hAnsi="Times New Roman" w:cs="Times New Roman"/>
          <w:sz w:val="24"/>
          <w:szCs w:val="24"/>
        </w:rPr>
        <w:t>.</w:t>
      </w:r>
    </w:p>
    <w:p w:rsidR="00923AFA" w:rsidRPr="00923AFA" w:rsidRDefault="00923AFA" w:rsidP="00923AFA">
      <w:pPr>
        <w:pStyle w:val="NoSpacing"/>
        <w:jc w:val="both"/>
        <w:rPr>
          <w:rFonts w:ascii="Times New Roman" w:hAnsi="Times New Roman" w:cs="Times New Roman"/>
          <w:sz w:val="24"/>
          <w:szCs w:val="24"/>
        </w:rPr>
      </w:pPr>
    </w:p>
    <w:p w:rsidR="00B53E47"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xml:space="preserve">The necessity of a certificate pursuant to Section 65B has undergone considerable judicial scrutiny. The Supreme Court ruled in </w:t>
      </w:r>
      <w:r w:rsidRPr="00923AFA">
        <w:rPr>
          <w:rFonts w:ascii="Times New Roman" w:hAnsi="Times New Roman" w:cs="Times New Roman"/>
          <w:i/>
          <w:sz w:val="24"/>
          <w:szCs w:val="24"/>
        </w:rPr>
        <w:t>Anvar P.V. v. P.K. Basheer</w:t>
      </w:r>
      <w:r w:rsidRPr="00923AFA">
        <w:rPr>
          <w:rStyle w:val="FootnoteReference"/>
          <w:rFonts w:ascii="Times New Roman" w:hAnsi="Times New Roman" w:cs="Times New Roman"/>
          <w:sz w:val="24"/>
          <w:szCs w:val="24"/>
        </w:rPr>
        <w:footnoteReference w:id="13"/>
      </w:r>
      <w:r w:rsidRPr="00923AFA">
        <w:rPr>
          <w:rFonts w:ascii="Times New Roman" w:hAnsi="Times New Roman" w:cs="Times New Roman"/>
          <w:sz w:val="24"/>
          <w:szCs w:val="24"/>
        </w:rPr>
        <w:t xml:space="preserve"> that electronic evidence must follow Section </w:t>
      </w:r>
      <w:r w:rsidRPr="00923AFA">
        <w:rPr>
          <w:rFonts w:ascii="Times New Roman" w:hAnsi="Times New Roman" w:cs="Times New Roman"/>
          <w:sz w:val="24"/>
          <w:szCs w:val="24"/>
        </w:rPr>
        <w:lastRenderedPageBreak/>
        <w:t xml:space="preserve">65B in order to be accepted, which was a change from the previous practice of allowing such evidence under general rules for secondary evidence.  This decision was a turning point because it set a strict procedural standard.However, practical challenges in procuring such certificates, especially when electronic data is maintained by third parties, resulted in a temporary leniency in </w:t>
      </w:r>
      <w:r w:rsidRPr="00923AFA">
        <w:rPr>
          <w:rFonts w:ascii="Times New Roman" w:hAnsi="Times New Roman" w:cs="Times New Roman"/>
          <w:i/>
          <w:sz w:val="24"/>
          <w:szCs w:val="24"/>
        </w:rPr>
        <w:t>Shafhi Mohammad v. State of Himachal Pradesh</w:t>
      </w:r>
      <w:r w:rsidRPr="00923AFA">
        <w:rPr>
          <w:rStyle w:val="FootnoteReference"/>
          <w:rFonts w:ascii="Times New Roman" w:hAnsi="Times New Roman" w:cs="Times New Roman"/>
          <w:i/>
          <w:sz w:val="24"/>
          <w:szCs w:val="24"/>
        </w:rPr>
        <w:footnoteReference w:id="14"/>
      </w:r>
      <w:r w:rsidRPr="00923AFA">
        <w:rPr>
          <w:rFonts w:ascii="Times New Roman" w:hAnsi="Times New Roman" w:cs="Times New Roman"/>
          <w:sz w:val="24"/>
          <w:szCs w:val="24"/>
        </w:rPr>
        <w:t xml:space="preserve">, wherein the Court noted that the necessity for a certificate might be waived in the interest of justice.  This made the legal situation unclear, but it was later made clear in </w:t>
      </w:r>
      <w:r w:rsidRPr="00923AFA">
        <w:rPr>
          <w:rFonts w:ascii="Times New Roman" w:hAnsi="Times New Roman" w:cs="Times New Roman"/>
          <w:i/>
          <w:sz w:val="24"/>
          <w:szCs w:val="24"/>
        </w:rPr>
        <w:t>Arjun PanditraoKhotkar v. KailashKushanraoGorantyal</w:t>
      </w:r>
      <w:r w:rsidRPr="00923AFA">
        <w:rPr>
          <w:rStyle w:val="FootnoteReference"/>
          <w:rFonts w:ascii="Times New Roman" w:hAnsi="Times New Roman" w:cs="Times New Roman"/>
          <w:i/>
          <w:sz w:val="24"/>
          <w:szCs w:val="24"/>
        </w:rPr>
        <w:footnoteReference w:id="15"/>
      </w:r>
      <w:r w:rsidRPr="00923AFA">
        <w:rPr>
          <w:rFonts w:ascii="Times New Roman" w:hAnsi="Times New Roman" w:cs="Times New Roman"/>
          <w:sz w:val="24"/>
          <w:szCs w:val="24"/>
        </w:rPr>
        <w:t>. The Supreme Court reaffirmed that Section 65B certification is required in this case. They also made it clear that the certificate can be provided later if it is not available right away.</w:t>
      </w:r>
    </w:p>
    <w:p w:rsidR="00923AFA" w:rsidRPr="00923AFA" w:rsidRDefault="00923AFA" w:rsidP="00923AFA">
      <w:pPr>
        <w:pStyle w:val="NoSpacing"/>
        <w:jc w:val="both"/>
        <w:rPr>
          <w:rFonts w:ascii="Times New Roman" w:hAnsi="Times New Roman" w:cs="Times New Roman"/>
          <w:sz w:val="24"/>
          <w:szCs w:val="24"/>
        </w:rPr>
      </w:pPr>
    </w:p>
    <w:p w:rsidR="00B53E47"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Information Technology Act, 2000 also gives legal recognition to electronic records and digital signatures</w:t>
      </w:r>
      <w:r w:rsidRPr="00923AFA">
        <w:rPr>
          <w:rStyle w:val="FootnoteReference"/>
          <w:rFonts w:ascii="Times New Roman" w:hAnsi="Times New Roman" w:cs="Times New Roman"/>
          <w:sz w:val="24"/>
          <w:szCs w:val="24"/>
        </w:rPr>
        <w:footnoteReference w:id="16"/>
      </w:r>
      <w:r w:rsidRPr="00923AFA">
        <w:rPr>
          <w:rFonts w:ascii="Times New Roman" w:hAnsi="Times New Roman" w:cs="Times New Roman"/>
          <w:sz w:val="24"/>
          <w:szCs w:val="24"/>
        </w:rPr>
        <w:t>. It sets up the basic rules for electronic governance and gives digital communications legal status, which makes them even more useful as evidence. Even with these changes in the law and the courts, there are still some problems. Because Section 65B is so technical, it can be hard to follow the rules in divorce cases. For example, one party might not have the original devices or the technical know-how to make valid certification. Also, the strict application of these rules can sometimes make it harder to admit relevant evidence, which can change the outcome of cases.</w:t>
      </w:r>
    </w:p>
    <w:p w:rsidR="00923AFA" w:rsidRPr="00923AFA" w:rsidRDefault="00923AFA" w:rsidP="00923AFA">
      <w:pPr>
        <w:pStyle w:val="NoSpacing"/>
        <w:jc w:val="both"/>
        <w:rPr>
          <w:rFonts w:ascii="Times New Roman" w:hAnsi="Times New Roman" w:cs="Times New Roman"/>
          <w:sz w:val="24"/>
          <w:szCs w:val="24"/>
        </w:rPr>
      </w:pPr>
    </w:p>
    <w:p w:rsidR="00B53E47" w:rsidRPr="00923AFA" w:rsidRDefault="00B53E47"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t>7. Social Media as Proof in Divorce Cases</w:t>
      </w:r>
    </w:p>
    <w:p w:rsidR="00B53E47"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xml:space="preserve">In the last few years, social media sites have become an important source of </w:t>
      </w:r>
      <w:r w:rsidRPr="00923AFA">
        <w:rPr>
          <w:rFonts w:ascii="Times New Roman" w:hAnsi="Times New Roman" w:cs="Times New Roman"/>
          <w:sz w:val="24"/>
          <w:szCs w:val="24"/>
        </w:rPr>
        <w:lastRenderedPageBreak/>
        <w:t>evidence in divorce cases, especially in marriage disputes. The extensive utilization of applications like WhatsApp, Facebook, Instagram, and email services has led to the generation of substantial digital footprints, which litigants increasingly depend on to demonstrate matrimonial fault.</w:t>
      </w:r>
    </w:p>
    <w:p w:rsidR="00923AFA" w:rsidRPr="00923AFA" w:rsidRDefault="00923AFA" w:rsidP="00923AFA">
      <w:pPr>
        <w:pStyle w:val="NoSpacing"/>
        <w:jc w:val="both"/>
        <w:rPr>
          <w:rFonts w:ascii="Times New Roman" w:hAnsi="Times New Roman" w:cs="Times New Roman"/>
          <w:sz w:val="24"/>
          <w:szCs w:val="24"/>
        </w:rPr>
      </w:pPr>
    </w:p>
    <w:p w:rsidR="00B53E47"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xml:space="preserve">One of the main uses of social media evidence is to show mental cruelty. Courts have consistently acknowledged that abusive messages, defamatory posts, and public allegations on social networking platforms can inflict considerable emotional distress and reputational damage. The Supreme Court ruled in </w:t>
      </w:r>
      <w:r w:rsidRPr="00923AFA">
        <w:rPr>
          <w:rFonts w:ascii="Times New Roman" w:hAnsi="Times New Roman" w:cs="Times New Roman"/>
          <w:i/>
          <w:sz w:val="24"/>
          <w:szCs w:val="24"/>
        </w:rPr>
        <w:t>K. Srinivas Rao v. D.A. Deepa</w:t>
      </w:r>
      <w:r w:rsidRPr="00923AFA">
        <w:rPr>
          <w:rStyle w:val="FootnoteReference"/>
          <w:rFonts w:ascii="Times New Roman" w:hAnsi="Times New Roman" w:cs="Times New Roman"/>
          <w:i/>
          <w:sz w:val="24"/>
          <w:szCs w:val="24"/>
        </w:rPr>
        <w:footnoteReference w:id="17"/>
      </w:r>
      <w:r w:rsidRPr="00923AFA">
        <w:rPr>
          <w:rFonts w:ascii="Times New Roman" w:hAnsi="Times New Roman" w:cs="Times New Roman"/>
          <w:sz w:val="24"/>
          <w:szCs w:val="24"/>
        </w:rPr>
        <w:t xml:space="preserve"> that one spouse's false complaints and defamatory statements about the other could be considered mental cruelty that is enough to get a divorce.  In the digital world, this kind of behavior often shows up in online conversations, which is why social media content is so important.</w:t>
      </w:r>
    </w:p>
    <w:p w:rsidR="00923AFA" w:rsidRPr="00923AFA" w:rsidRDefault="00923AFA" w:rsidP="00923AFA">
      <w:pPr>
        <w:pStyle w:val="NoSpacing"/>
        <w:jc w:val="both"/>
        <w:rPr>
          <w:rFonts w:ascii="Times New Roman" w:hAnsi="Times New Roman" w:cs="Times New Roman"/>
          <w:sz w:val="24"/>
          <w:szCs w:val="24"/>
        </w:rPr>
      </w:pPr>
    </w:p>
    <w:p w:rsidR="00B53E47"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So, even though the current laws give a clear way to decide if electronic evidence can be used in court, there is still a strong need for more clarity, flexibility, and practical advice to make sure it works well in divorce cases.</w:t>
      </w:r>
    </w:p>
    <w:p w:rsidR="00923AFA" w:rsidRPr="00923AFA" w:rsidRDefault="00923AFA" w:rsidP="00923AFA">
      <w:pPr>
        <w:pStyle w:val="NoSpacing"/>
        <w:jc w:val="both"/>
        <w:rPr>
          <w:rFonts w:ascii="Times New Roman" w:hAnsi="Times New Roman" w:cs="Times New Roman"/>
          <w:sz w:val="24"/>
          <w:szCs w:val="24"/>
        </w:rPr>
      </w:pPr>
    </w:p>
    <w:p w:rsidR="00B53E47" w:rsidRDefault="00B53E47"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Digital evidence is also an important part of proving cheating or relationships outside of marriage. Even though direct proof of adultery is rare, courts have accepted indirect proof, such as private conversations, photos, and interactions on social media, as signs of an illegal relationship. Indian law has always required proof of physical intimacy, but courts are now starting to see emotional betrayal as a factor in marital problems. This is because more and more people are recognizing emotional betrayal</w:t>
      </w:r>
      <w:r w:rsidRPr="00923AFA">
        <w:rPr>
          <w:rStyle w:val="FootnoteReference"/>
          <w:rFonts w:ascii="Times New Roman" w:hAnsi="Times New Roman" w:cs="Times New Roman"/>
          <w:sz w:val="24"/>
          <w:szCs w:val="24"/>
        </w:rPr>
        <w:footnoteReference w:id="18"/>
      </w:r>
      <w:r w:rsidRPr="00923AFA">
        <w:rPr>
          <w:rFonts w:ascii="Times New Roman" w:hAnsi="Times New Roman" w:cs="Times New Roman"/>
          <w:sz w:val="24"/>
          <w:szCs w:val="24"/>
        </w:rPr>
        <w:t>.</w:t>
      </w:r>
    </w:p>
    <w:p w:rsidR="00923AFA" w:rsidRPr="00923AFA" w:rsidRDefault="00923AFA" w:rsidP="00923AFA">
      <w:pPr>
        <w:pStyle w:val="NoSpacing"/>
        <w:jc w:val="both"/>
        <w:rPr>
          <w:rFonts w:ascii="Times New Roman" w:hAnsi="Times New Roman" w:cs="Times New Roman"/>
          <w:sz w:val="24"/>
          <w:szCs w:val="24"/>
        </w:rPr>
      </w:pPr>
    </w:p>
    <w:p w:rsidR="004A02ED" w:rsidRDefault="004A02ED"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lastRenderedPageBreak/>
        <w:t>Social media evidence is pertinent in cases of desertion and the intention to terminate the marital relationship. For example, posts that show a change in relationship status, a move, or a connection with a third party could be used to show that a spouse wants to end the marriage. But using social media as evidence isn't always easy. One of the biggest worries is whether or not things are real. It's easy to change, edit, or take digital content out of context, which makes it less trustworthy. Because of this, courts need to be careful when looking at this kind of evidence to make sure it meets the Evidence Act's standards for being allowed.</w:t>
      </w:r>
    </w:p>
    <w:p w:rsidR="00923AFA" w:rsidRPr="00923AFA" w:rsidRDefault="00923AFA" w:rsidP="00923AFA">
      <w:pPr>
        <w:pStyle w:val="NoSpacing"/>
        <w:jc w:val="both"/>
        <w:rPr>
          <w:rFonts w:ascii="Times New Roman" w:hAnsi="Times New Roman" w:cs="Times New Roman"/>
          <w:sz w:val="24"/>
          <w:szCs w:val="24"/>
        </w:rPr>
      </w:pPr>
    </w:p>
    <w:p w:rsidR="004A02ED" w:rsidRDefault="004A02ED"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The right to privacy is another important issue. Using private messages, like personal chats and emails, as proof in court cases makes people wonder how much of someone's privacy can be violated in the name of justice. The acknowledgment of privacy as an intrinsic right in</w:t>
      </w:r>
      <w:r w:rsidRPr="004A02ED">
        <w:t xml:space="preserve"> </w:t>
      </w:r>
      <w:r w:rsidRPr="00923AFA">
        <w:rPr>
          <w:rFonts w:ascii="Times New Roman" w:hAnsi="Times New Roman" w:cs="Times New Roman"/>
          <w:sz w:val="24"/>
          <w:szCs w:val="24"/>
        </w:rPr>
        <w:t xml:space="preserve">Justice </w:t>
      </w:r>
      <w:r w:rsidRPr="00923AFA">
        <w:rPr>
          <w:rFonts w:ascii="Times New Roman" w:hAnsi="Times New Roman" w:cs="Times New Roman"/>
          <w:i/>
          <w:sz w:val="24"/>
          <w:szCs w:val="24"/>
        </w:rPr>
        <w:t>K.S. Puttaswamy v. Union of India</w:t>
      </w:r>
      <w:r w:rsidRPr="00923AFA">
        <w:rPr>
          <w:rStyle w:val="FootnoteReference"/>
          <w:rFonts w:ascii="Times New Roman" w:hAnsi="Times New Roman" w:cs="Times New Roman"/>
          <w:i/>
          <w:sz w:val="24"/>
          <w:szCs w:val="24"/>
        </w:rPr>
        <w:footnoteReference w:id="19"/>
      </w:r>
      <w:r w:rsidRPr="00923AFA">
        <w:rPr>
          <w:rFonts w:ascii="Times New Roman" w:hAnsi="Times New Roman" w:cs="Times New Roman"/>
          <w:sz w:val="24"/>
          <w:szCs w:val="24"/>
        </w:rPr>
        <w:t xml:space="preserve"> has exacerbated this discourse, necessitating that courts reconcile evidentiary requirements with constitutional safeguards.  There is also a growing worry about how social media evidence is being used wrongfully. Parties may selectively present or fabricate digital content to bolster their claims, resulting in potential injustice. This shows how important it is to have strict rules for evidence and judges who are always on the lookout.</w:t>
      </w:r>
    </w:p>
    <w:p w:rsidR="00923AFA" w:rsidRPr="00923AFA" w:rsidRDefault="00923AFA" w:rsidP="00923AFA">
      <w:pPr>
        <w:pStyle w:val="NoSpacing"/>
        <w:jc w:val="both"/>
        <w:rPr>
          <w:rFonts w:ascii="Times New Roman" w:hAnsi="Times New Roman" w:cs="Times New Roman"/>
          <w:sz w:val="24"/>
          <w:szCs w:val="24"/>
        </w:rPr>
      </w:pPr>
    </w:p>
    <w:p w:rsidR="004A02ED" w:rsidRDefault="004A02ED"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In conclusion, social media has become an important tool in divorce cases because it gives us important information about how people act and what they plan to do. However, to use it effectively, it needs to be carefully regulated, follow rules about evidence, and be used in a way that protects both justice and people's rights.</w:t>
      </w:r>
    </w:p>
    <w:p w:rsidR="00923AFA" w:rsidRPr="00923AFA" w:rsidRDefault="00923AFA" w:rsidP="00923AFA">
      <w:pPr>
        <w:pStyle w:val="NoSpacing"/>
        <w:jc w:val="both"/>
        <w:rPr>
          <w:rFonts w:ascii="Times New Roman" w:hAnsi="Times New Roman" w:cs="Times New Roman"/>
          <w:sz w:val="24"/>
          <w:szCs w:val="24"/>
        </w:rPr>
      </w:pPr>
    </w:p>
    <w:p w:rsidR="004A02ED" w:rsidRPr="00923AFA" w:rsidRDefault="004A02ED" w:rsidP="00923AFA">
      <w:pPr>
        <w:pStyle w:val="NoSpacing"/>
        <w:jc w:val="both"/>
        <w:rPr>
          <w:rFonts w:ascii="Times New Roman" w:hAnsi="Times New Roman" w:cs="Times New Roman"/>
          <w:b/>
          <w:sz w:val="24"/>
          <w:szCs w:val="24"/>
        </w:rPr>
      </w:pPr>
      <w:r w:rsidRPr="00923AFA">
        <w:rPr>
          <w:rFonts w:ascii="Times New Roman" w:hAnsi="Times New Roman" w:cs="Times New Roman"/>
          <w:b/>
          <w:sz w:val="24"/>
          <w:szCs w:val="24"/>
        </w:rPr>
        <w:lastRenderedPageBreak/>
        <w:t>8. Recent Court Rulings on Digital Evidence in Divorce Cases</w:t>
      </w:r>
    </w:p>
    <w:p w:rsidR="004A02ED" w:rsidRPr="00923AFA" w:rsidRDefault="004A02ED"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 xml:space="preserve">In recent years, the Indian judiciary has taken a more progressive stance on recognizing and evaluating digital evidence in marriage disputes, especially when it comes to social media and electronic communication. The Madhya Pradesh High Court's decision in </w:t>
      </w:r>
      <w:r w:rsidRPr="00923AFA">
        <w:rPr>
          <w:rFonts w:ascii="Times New Roman" w:hAnsi="Times New Roman" w:cs="Times New Roman"/>
          <w:i/>
          <w:sz w:val="24"/>
          <w:szCs w:val="24"/>
        </w:rPr>
        <w:t>Smt. Anjali Sharma v. Raman Upadhyay (2023)</w:t>
      </w:r>
      <w:r w:rsidRPr="00923AFA">
        <w:rPr>
          <w:rStyle w:val="FootnoteReference"/>
          <w:rFonts w:ascii="Times New Roman" w:hAnsi="Times New Roman" w:cs="Times New Roman"/>
          <w:i/>
          <w:sz w:val="24"/>
          <w:szCs w:val="24"/>
        </w:rPr>
        <w:footnoteReference w:id="20"/>
      </w:r>
      <w:r w:rsidRPr="00923AFA">
        <w:rPr>
          <w:rFonts w:ascii="Times New Roman" w:hAnsi="Times New Roman" w:cs="Times New Roman"/>
          <w:sz w:val="24"/>
          <w:szCs w:val="24"/>
        </w:rPr>
        <w:t xml:space="preserve"> was a big step forward because it allowed WhatsApp chats to be used as evidence in divorce cases.  The Court noted that electronic communications between spouses may be pertinent in substantiating claims of extramarital relationships and cruelty, contingent upon the fulfillment of admissibility criteria. It also made it clear that the Family Courts Act allows for a more flexible approach to evidence, which means that courts can look at digital material in the name of justice.</w:t>
      </w:r>
    </w:p>
    <w:p w:rsidR="00923AFA" w:rsidRDefault="00923AFA" w:rsidP="004A02ED">
      <w:pPr>
        <w:spacing w:line="360" w:lineRule="auto"/>
        <w:jc w:val="both"/>
        <w:rPr>
          <w:rFonts w:ascii="Times New Roman" w:hAnsi="Times New Roman" w:cs="Times New Roman"/>
          <w:sz w:val="24"/>
          <w:szCs w:val="24"/>
        </w:rPr>
      </w:pPr>
    </w:p>
    <w:p w:rsidR="004A02ED" w:rsidRDefault="004A02ED" w:rsidP="00923AFA">
      <w:pPr>
        <w:pStyle w:val="NoSpacing"/>
        <w:jc w:val="both"/>
        <w:rPr>
          <w:rFonts w:ascii="Times New Roman" w:hAnsi="Times New Roman" w:cs="Times New Roman"/>
          <w:sz w:val="24"/>
          <w:szCs w:val="24"/>
        </w:rPr>
      </w:pPr>
      <w:r w:rsidRPr="00923AFA">
        <w:rPr>
          <w:rFonts w:ascii="Times New Roman" w:hAnsi="Times New Roman" w:cs="Times New Roman"/>
          <w:sz w:val="24"/>
          <w:szCs w:val="24"/>
        </w:rPr>
        <w:t>Another important trend in the courts is whether or not recorded conversations between spouses can be used as evidence. In a recent Supreme Court decision (2025), the Court ruled that secretly recorded phone calls between spouses in divorce cases can be used as evidence, but only when the parties themselves are involved in the case</w:t>
      </w:r>
      <w:r w:rsidRPr="00923AFA">
        <w:rPr>
          <w:rStyle w:val="FootnoteReference"/>
          <w:rFonts w:ascii="Times New Roman" w:hAnsi="Times New Roman" w:cs="Times New Roman"/>
          <w:sz w:val="24"/>
          <w:szCs w:val="24"/>
        </w:rPr>
        <w:footnoteReference w:id="21"/>
      </w:r>
      <w:r w:rsidRPr="00923AFA">
        <w:rPr>
          <w:rFonts w:ascii="Times New Roman" w:hAnsi="Times New Roman" w:cs="Times New Roman"/>
          <w:sz w:val="24"/>
          <w:szCs w:val="24"/>
        </w:rPr>
        <w:t xml:space="preserve">.  The Court made it clear that protecting marital communication is not absolute and must give way when necessary to make sure justice is done. This decision is a big step toward finding the right balance between privacy and the need for evidence. The Orissa High Court (2025–2026) has also warned against the misuse of marriage allegations, especially when there is digital or documentary evidence. The Court said that making vague and general accusations without any </w:t>
      </w:r>
      <w:r w:rsidRPr="00923AFA">
        <w:rPr>
          <w:rFonts w:ascii="Times New Roman" w:hAnsi="Times New Roman" w:cs="Times New Roman"/>
          <w:sz w:val="24"/>
          <w:szCs w:val="24"/>
        </w:rPr>
        <w:lastRenderedPageBreak/>
        <w:t>specific proof, like electronic evidence, is an abuse of process and can't be upheld</w:t>
      </w:r>
      <w:r w:rsidRPr="00923AFA">
        <w:rPr>
          <w:rStyle w:val="FootnoteReference"/>
          <w:rFonts w:ascii="Times New Roman" w:hAnsi="Times New Roman" w:cs="Times New Roman"/>
          <w:sz w:val="24"/>
          <w:szCs w:val="24"/>
        </w:rPr>
        <w:footnoteReference w:id="22"/>
      </w:r>
      <w:r w:rsidRPr="00923AFA">
        <w:rPr>
          <w:rFonts w:ascii="Times New Roman" w:hAnsi="Times New Roman" w:cs="Times New Roman"/>
          <w:sz w:val="24"/>
          <w:szCs w:val="24"/>
        </w:rPr>
        <w:t>.  This shows that judges are worried about how common it is for people to lie or misuse evidence in divorce cases.</w:t>
      </w:r>
    </w:p>
    <w:p w:rsidR="00923AFA" w:rsidRPr="00923AFA" w:rsidRDefault="00923AFA" w:rsidP="00923AFA">
      <w:pPr>
        <w:pStyle w:val="NoSpacing"/>
        <w:jc w:val="both"/>
        <w:rPr>
          <w:rFonts w:ascii="Times New Roman" w:hAnsi="Times New Roman" w:cs="Times New Roman"/>
          <w:sz w:val="24"/>
          <w:szCs w:val="24"/>
        </w:rPr>
      </w:pPr>
    </w:p>
    <w:p w:rsidR="004A02ED" w:rsidRPr="008E24D1" w:rsidRDefault="004A02ED" w:rsidP="00923AFA">
      <w:pPr>
        <w:pStyle w:val="NoSpacing"/>
        <w:jc w:val="both"/>
        <w:rPr>
          <w:rFonts w:ascii="Times New Roman" w:hAnsi="Times New Roman" w:cs="Times New Roman"/>
          <w:sz w:val="24"/>
          <w:szCs w:val="24"/>
        </w:rPr>
      </w:pPr>
      <w:r w:rsidRPr="008E24D1">
        <w:rPr>
          <w:rFonts w:ascii="Times New Roman" w:hAnsi="Times New Roman" w:cs="Times New Roman"/>
          <w:sz w:val="24"/>
          <w:szCs w:val="24"/>
        </w:rPr>
        <w:t>Also, recent decisions from the Delhi High Court (2025) show that they take a practical approach to marriage disputes that involve electronic evidence</w:t>
      </w:r>
      <w:r w:rsidRPr="008E24D1">
        <w:rPr>
          <w:rStyle w:val="FootnoteReference"/>
          <w:rFonts w:ascii="Times New Roman" w:hAnsi="Times New Roman" w:cs="Times New Roman"/>
          <w:sz w:val="24"/>
          <w:szCs w:val="24"/>
        </w:rPr>
        <w:footnoteReference w:id="23"/>
      </w:r>
      <w:r w:rsidRPr="008E24D1">
        <w:rPr>
          <w:rFonts w:ascii="Times New Roman" w:hAnsi="Times New Roman" w:cs="Times New Roman"/>
          <w:sz w:val="24"/>
          <w:szCs w:val="24"/>
        </w:rPr>
        <w:t>. The Court has been more and more in favor of settlements, even in cases where there are criminal charges under marriage laws. This is because long court cases, which are often backed up by a lot of digital evidence, may not be in the best interests of justice.  These changes show that courts are more and more willing to accept digital evidence, but they also want to make sure that it is not misused. Not only are courts recognizing the importance of social media and electronic communication, but they are also stressing the need for honesty, clarity, and fairness in how they are used</w:t>
      </w:r>
      <w:r w:rsidRPr="008E24D1">
        <w:rPr>
          <w:rStyle w:val="FootnoteReference"/>
          <w:rFonts w:ascii="Times New Roman" w:hAnsi="Times New Roman" w:cs="Times New Roman"/>
          <w:sz w:val="24"/>
          <w:szCs w:val="24"/>
        </w:rPr>
        <w:footnoteReference w:id="24"/>
      </w:r>
      <w:r w:rsidRPr="008E24D1">
        <w:rPr>
          <w:rFonts w:ascii="Times New Roman" w:hAnsi="Times New Roman" w:cs="Times New Roman"/>
          <w:sz w:val="24"/>
          <w:szCs w:val="24"/>
        </w:rPr>
        <w:t>.</w:t>
      </w:r>
    </w:p>
    <w:p w:rsidR="00923AFA" w:rsidRPr="008E24D1" w:rsidRDefault="00923AFA" w:rsidP="00923AFA">
      <w:pPr>
        <w:pStyle w:val="NoSpacing"/>
        <w:jc w:val="both"/>
        <w:rPr>
          <w:rFonts w:ascii="Times New Roman" w:hAnsi="Times New Roman" w:cs="Times New Roman"/>
          <w:sz w:val="24"/>
          <w:szCs w:val="24"/>
        </w:rPr>
      </w:pPr>
    </w:p>
    <w:p w:rsidR="004A02ED" w:rsidRDefault="004A02ED" w:rsidP="001F1A31">
      <w:pPr>
        <w:pStyle w:val="NoSpacing"/>
        <w:jc w:val="both"/>
        <w:rPr>
          <w:rFonts w:ascii="Times New Roman" w:hAnsi="Times New Roman" w:cs="Times New Roman"/>
          <w:sz w:val="24"/>
          <w:szCs w:val="24"/>
        </w:rPr>
      </w:pPr>
      <w:r w:rsidRPr="008E24D1">
        <w:rPr>
          <w:rFonts w:ascii="Times New Roman" w:hAnsi="Times New Roman" w:cs="Times New Roman"/>
          <w:sz w:val="24"/>
          <w:szCs w:val="24"/>
        </w:rPr>
        <w:t>Another big problem is following the rules, especially the certificate that Section 65B of the Evidence Act says is necessary. In divorce cases, people often use their own devices, like phones or computers, and may not know how to make a valid certificate. Moreover, when data is stored on third-party servers, like social media sites, getting certification becomes even harder. If these rules</w:t>
      </w:r>
      <w:r w:rsidRPr="001F1A31">
        <w:rPr>
          <w:rFonts w:ascii="Times New Roman" w:hAnsi="Times New Roman" w:cs="Times New Roman"/>
          <w:sz w:val="24"/>
          <w:szCs w:val="24"/>
        </w:rPr>
        <w:t xml:space="preserve"> are followed too strictly, they could leave out important evidence, which would hurt the cause of justice.</w:t>
      </w:r>
    </w:p>
    <w:p w:rsidR="001F1A31" w:rsidRPr="001F1A31" w:rsidRDefault="001F1A31" w:rsidP="001F1A31">
      <w:pPr>
        <w:pStyle w:val="NoSpacing"/>
        <w:jc w:val="both"/>
        <w:rPr>
          <w:rFonts w:ascii="Times New Roman" w:hAnsi="Times New Roman" w:cs="Times New Roman"/>
          <w:sz w:val="24"/>
          <w:szCs w:val="24"/>
        </w:rPr>
      </w:pPr>
    </w:p>
    <w:p w:rsidR="004A02ED" w:rsidRDefault="004A02ED" w:rsidP="001F1A31">
      <w:pPr>
        <w:pStyle w:val="NoSpacing"/>
        <w:jc w:val="both"/>
        <w:rPr>
          <w:rFonts w:ascii="Times New Roman" w:hAnsi="Times New Roman" w:cs="Times New Roman"/>
          <w:sz w:val="24"/>
          <w:szCs w:val="24"/>
        </w:rPr>
      </w:pPr>
      <w:r w:rsidRPr="001F1A31">
        <w:rPr>
          <w:rFonts w:ascii="Times New Roman" w:hAnsi="Times New Roman" w:cs="Times New Roman"/>
          <w:sz w:val="24"/>
          <w:szCs w:val="24"/>
        </w:rPr>
        <w:t xml:space="preserve">Privacy is another big problem that needs to be solved. In many cases of divorce, private messages between the spouses or between one spouse and a third party are made public. The revelation of such </w:t>
      </w:r>
      <w:r w:rsidRPr="001F1A31">
        <w:rPr>
          <w:rFonts w:ascii="Times New Roman" w:hAnsi="Times New Roman" w:cs="Times New Roman"/>
          <w:sz w:val="24"/>
          <w:szCs w:val="24"/>
        </w:rPr>
        <w:lastRenderedPageBreak/>
        <w:t xml:space="preserve">information in judicial proceedings may violate the right to privacy, acknowledged as a fundamental right. The Supreme Court stressed the importance of protecting people's privacy in the case of Justice </w:t>
      </w:r>
      <w:r w:rsidRPr="001F1A31">
        <w:rPr>
          <w:rFonts w:ascii="Times New Roman" w:hAnsi="Times New Roman" w:cs="Times New Roman"/>
          <w:i/>
          <w:sz w:val="24"/>
          <w:szCs w:val="24"/>
        </w:rPr>
        <w:t>K.S. Puttaswamy v. Union of India</w:t>
      </w:r>
      <w:r w:rsidRPr="001F1A31">
        <w:rPr>
          <w:rStyle w:val="FootnoteReference"/>
          <w:rFonts w:ascii="Times New Roman" w:hAnsi="Times New Roman" w:cs="Times New Roman"/>
          <w:i/>
          <w:sz w:val="24"/>
          <w:szCs w:val="24"/>
        </w:rPr>
        <w:footnoteReference w:id="25"/>
      </w:r>
      <w:r w:rsidRPr="001F1A31">
        <w:rPr>
          <w:rFonts w:ascii="Times New Roman" w:hAnsi="Times New Roman" w:cs="Times New Roman"/>
          <w:sz w:val="24"/>
          <w:szCs w:val="24"/>
        </w:rPr>
        <w:t>. This means that different interests must be carefully balanced.  The issue of contextual interpretation also emerges in the assessment of social media evidence. Digital communications are often casual, broken up, and lack context, which makes it hard for courts to figure out what they mean. When you look at a message or post by itself, it might give you the wrong idea and make you draw the wrong conclusions.</w:t>
      </w:r>
    </w:p>
    <w:p w:rsidR="001F1A31" w:rsidRPr="001F1A31" w:rsidRDefault="001F1A31" w:rsidP="001F1A31">
      <w:pPr>
        <w:pStyle w:val="NoSpacing"/>
        <w:jc w:val="both"/>
        <w:rPr>
          <w:rFonts w:ascii="Times New Roman" w:hAnsi="Times New Roman" w:cs="Times New Roman"/>
          <w:sz w:val="24"/>
          <w:szCs w:val="24"/>
        </w:rPr>
      </w:pPr>
    </w:p>
    <w:p w:rsidR="004A02ED" w:rsidRPr="001F1A31" w:rsidRDefault="004A02ED" w:rsidP="001F1A31">
      <w:pPr>
        <w:pStyle w:val="NoSpacing"/>
        <w:jc w:val="both"/>
        <w:rPr>
          <w:rFonts w:ascii="Times New Roman" w:hAnsi="Times New Roman" w:cs="Times New Roman"/>
          <w:sz w:val="24"/>
          <w:szCs w:val="24"/>
        </w:rPr>
      </w:pPr>
      <w:r w:rsidRPr="001F1A31">
        <w:rPr>
          <w:rFonts w:ascii="Times New Roman" w:hAnsi="Times New Roman" w:cs="Times New Roman"/>
          <w:sz w:val="24"/>
          <w:szCs w:val="24"/>
        </w:rPr>
        <w:t>Digital data that crosses borders makes things even more complicated. Social media sites often use servers that are not in India, which can cause problems with jurisdiction and make it hard to get to or check data. This makes it hard for both the people involved in the case and the courts to make sure that the evidence is real and can be used in court.</w:t>
      </w:r>
    </w:p>
    <w:p w:rsidR="004A02ED" w:rsidRDefault="004A02ED" w:rsidP="001F1A31">
      <w:pPr>
        <w:pStyle w:val="NoSpacing"/>
        <w:jc w:val="both"/>
        <w:rPr>
          <w:rFonts w:ascii="Times New Roman" w:hAnsi="Times New Roman" w:cs="Times New Roman"/>
          <w:sz w:val="24"/>
          <w:szCs w:val="24"/>
        </w:rPr>
      </w:pPr>
      <w:r w:rsidRPr="001F1A31">
        <w:rPr>
          <w:rFonts w:ascii="Times New Roman" w:hAnsi="Times New Roman" w:cs="Times New Roman"/>
          <w:sz w:val="24"/>
          <w:szCs w:val="24"/>
        </w:rPr>
        <w:t>Last but not least, there is a growing worry about relying too much on digital evidence. Electronic records can be helpful, but relying too much on them can make other important things, like oral testimony and the situation around them, less important. So, a balanced approach is necessary to make sure that justice isn't lost.</w:t>
      </w:r>
    </w:p>
    <w:p w:rsidR="001F1A31" w:rsidRPr="001F1A31" w:rsidRDefault="001F1A31" w:rsidP="001F1A31">
      <w:pPr>
        <w:pStyle w:val="NoSpacing"/>
        <w:jc w:val="both"/>
        <w:rPr>
          <w:rFonts w:ascii="Times New Roman" w:hAnsi="Times New Roman" w:cs="Times New Roman"/>
          <w:sz w:val="24"/>
          <w:szCs w:val="24"/>
        </w:rPr>
      </w:pPr>
    </w:p>
    <w:p w:rsidR="0062158B" w:rsidRPr="008E24D1" w:rsidRDefault="0062158B" w:rsidP="000041E1">
      <w:pPr>
        <w:pStyle w:val="NoSpacing"/>
        <w:jc w:val="both"/>
        <w:rPr>
          <w:rFonts w:ascii="Times New Roman" w:hAnsi="Times New Roman" w:cs="Times New Roman"/>
          <w:b/>
          <w:sz w:val="24"/>
          <w:szCs w:val="24"/>
        </w:rPr>
      </w:pPr>
      <w:r w:rsidRPr="008E24D1">
        <w:rPr>
          <w:rFonts w:ascii="Times New Roman" w:hAnsi="Times New Roman" w:cs="Times New Roman"/>
          <w:b/>
          <w:sz w:val="24"/>
          <w:szCs w:val="24"/>
        </w:rPr>
        <w:t>10. Misuse of Social Media Evidence in Matrimonial Disputes</w:t>
      </w:r>
    </w:p>
    <w:p w:rsidR="0062158B" w:rsidRDefault="0062158B" w:rsidP="000041E1">
      <w:pPr>
        <w:pStyle w:val="NoSpacing"/>
        <w:jc w:val="both"/>
        <w:rPr>
          <w:rFonts w:ascii="Times New Roman" w:hAnsi="Times New Roman" w:cs="Times New Roman"/>
          <w:sz w:val="24"/>
          <w:szCs w:val="24"/>
        </w:rPr>
      </w:pPr>
      <w:r w:rsidRPr="000041E1">
        <w:rPr>
          <w:rFonts w:ascii="Times New Roman" w:hAnsi="Times New Roman" w:cs="Times New Roman"/>
          <w:sz w:val="24"/>
          <w:szCs w:val="24"/>
        </w:rPr>
        <w:t>The growing use of social media as evidence has also led to its misuse in divorce cases. Parties may try to change digital content or only show certain information to make their case stronger, which would hurt the fairness of court proceedings.</w:t>
      </w:r>
    </w:p>
    <w:p w:rsidR="000041E1" w:rsidRPr="000041E1" w:rsidRDefault="000041E1" w:rsidP="000041E1">
      <w:pPr>
        <w:pStyle w:val="NoSpacing"/>
        <w:jc w:val="both"/>
        <w:rPr>
          <w:rFonts w:ascii="Times New Roman" w:hAnsi="Times New Roman" w:cs="Times New Roman"/>
          <w:sz w:val="24"/>
          <w:szCs w:val="24"/>
        </w:rPr>
      </w:pPr>
    </w:p>
    <w:p w:rsidR="0062158B" w:rsidRDefault="0062158B" w:rsidP="000041E1">
      <w:pPr>
        <w:pStyle w:val="NoSpacing"/>
        <w:jc w:val="both"/>
        <w:rPr>
          <w:rFonts w:ascii="Times New Roman" w:hAnsi="Times New Roman" w:cs="Times New Roman"/>
          <w:sz w:val="24"/>
          <w:szCs w:val="24"/>
        </w:rPr>
      </w:pPr>
      <w:r w:rsidRPr="000041E1">
        <w:rPr>
          <w:rFonts w:ascii="Times New Roman" w:hAnsi="Times New Roman" w:cs="Times New Roman"/>
          <w:sz w:val="24"/>
          <w:szCs w:val="24"/>
        </w:rPr>
        <w:lastRenderedPageBreak/>
        <w:t>One common way to misuse electronic records is to make up or change them. You can make fake conversations, change pictures, or change the sound and video recordings with the help of advanced editing tools. These kinds of behavior are a big threat to the fairness of marriage cases because courts could be misled by evidence that looks real but is actually fake. Another problem is the selective presentation of evidence, where parties only show parts of communication that support their case and hide parts that don't. This can lead to a distorted picture of the facts, which makes it hard for courts to figure out what really happened.</w:t>
      </w:r>
    </w:p>
    <w:p w:rsidR="000041E1" w:rsidRPr="000041E1" w:rsidRDefault="000041E1" w:rsidP="000041E1">
      <w:pPr>
        <w:pStyle w:val="NoSpacing"/>
        <w:jc w:val="both"/>
        <w:rPr>
          <w:rFonts w:ascii="Times New Roman" w:hAnsi="Times New Roman" w:cs="Times New Roman"/>
          <w:sz w:val="24"/>
          <w:szCs w:val="24"/>
        </w:rPr>
      </w:pPr>
    </w:p>
    <w:p w:rsidR="0062158B" w:rsidRDefault="0062158B" w:rsidP="000041E1">
      <w:pPr>
        <w:pStyle w:val="NoSpacing"/>
        <w:jc w:val="both"/>
        <w:rPr>
          <w:rFonts w:ascii="Times New Roman" w:hAnsi="Times New Roman" w:cs="Times New Roman"/>
          <w:sz w:val="24"/>
          <w:szCs w:val="24"/>
        </w:rPr>
      </w:pPr>
      <w:r w:rsidRPr="000041E1">
        <w:rPr>
          <w:rFonts w:ascii="Times New Roman" w:hAnsi="Times New Roman" w:cs="Times New Roman"/>
          <w:sz w:val="24"/>
          <w:szCs w:val="24"/>
        </w:rPr>
        <w:t>The misuse of social media evidence also includes invading someone's privacy and getting into their account without permission. In certain instances, individuals may illicitly access the personal accounts or devices of their spouses without consent, thereby acquiring private communications through illegal methods. The acceptability of such evidence brings up important moral and legal issues, especially since privacy is protected by the Constitution.</w:t>
      </w:r>
      <w:r w:rsidRPr="0062158B">
        <w:t xml:space="preserve"> </w:t>
      </w:r>
      <w:r w:rsidRPr="000041E1">
        <w:rPr>
          <w:rFonts w:ascii="Times New Roman" w:hAnsi="Times New Roman" w:cs="Times New Roman"/>
          <w:sz w:val="24"/>
          <w:szCs w:val="24"/>
        </w:rPr>
        <w:t>Moreover, the utilization of social media as an instrument for harassment or coercion has become increasingly widespread. During marriage disputes, one party may post false information about the other or threaten to make private information public in order to put pressure on the other party. This kind of behavior not only makes the conflict worse, but it also hurts the dignity of the people involved.</w:t>
      </w:r>
    </w:p>
    <w:p w:rsidR="000041E1" w:rsidRPr="000041E1" w:rsidRDefault="000041E1" w:rsidP="000041E1">
      <w:pPr>
        <w:pStyle w:val="NoSpacing"/>
        <w:jc w:val="both"/>
        <w:rPr>
          <w:rFonts w:ascii="Times New Roman" w:hAnsi="Times New Roman" w:cs="Times New Roman"/>
          <w:sz w:val="24"/>
          <w:szCs w:val="24"/>
        </w:rPr>
      </w:pPr>
    </w:p>
    <w:p w:rsidR="0062158B" w:rsidRDefault="0062158B" w:rsidP="001A56DC">
      <w:pPr>
        <w:pStyle w:val="NoSpacing"/>
        <w:jc w:val="both"/>
        <w:rPr>
          <w:rFonts w:ascii="Times New Roman" w:hAnsi="Times New Roman" w:cs="Times New Roman"/>
          <w:sz w:val="24"/>
          <w:szCs w:val="24"/>
        </w:rPr>
      </w:pPr>
      <w:r w:rsidRPr="001A56DC">
        <w:rPr>
          <w:rFonts w:ascii="Times New Roman" w:hAnsi="Times New Roman" w:cs="Times New Roman"/>
          <w:sz w:val="24"/>
          <w:szCs w:val="24"/>
        </w:rPr>
        <w:t>The courts know that electronic evidence can be misused, so they stress the need for careful examination of it. But because there are no clear rules or procedures, different cases often have different ways of doing things.</w:t>
      </w:r>
    </w:p>
    <w:p w:rsidR="001A56DC" w:rsidRPr="001A56DC" w:rsidRDefault="001A56DC" w:rsidP="001A56DC">
      <w:pPr>
        <w:pStyle w:val="NoSpacing"/>
        <w:jc w:val="both"/>
        <w:rPr>
          <w:rFonts w:ascii="Times New Roman" w:hAnsi="Times New Roman" w:cs="Times New Roman"/>
          <w:sz w:val="24"/>
          <w:szCs w:val="24"/>
        </w:rPr>
      </w:pPr>
    </w:p>
    <w:p w:rsidR="0062158B" w:rsidRDefault="0062158B" w:rsidP="001A56DC">
      <w:pPr>
        <w:pStyle w:val="NoSpacing"/>
        <w:jc w:val="both"/>
        <w:rPr>
          <w:rFonts w:ascii="Times New Roman" w:hAnsi="Times New Roman" w:cs="Times New Roman"/>
          <w:sz w:val="24"/>
          <w:szCs w:val="24"/>
        </w:rPr>
      </w:pPr>
      <w:r w:rsidRPr="001A56DC">
        <w:rPr>
          <w:rFonts w:ascii="Times New Roman" w:hAnsi="Times New Roman" w:cs="Times New Roman"/>
          <w:sz w:val="24"/>
          <w:szCs w:val="24"/>
        </w:rPr>
        <w:t xml:space="preserve">Because of these worries, it is very important to create strong ways to check the authenticity of digital evidence and </w:t>
      </w:r>
      <w:r w:rsidRPr="001A56DC">
        <w:rPr>
          <w:rFonts w:ascii="Times New Roman" w:hAnsi="Times New Roman" w:cs="Times New Roman"/>
          <w:sz w:val="24"/>
          <w:szCs w:val="24"/>
        </w:rPr>
        <w:lastRenderedPageBreak/>
        <w:t>stop it from being used in the wrong way. This includes stricter rules about what counts as evidence, better technology protections, and more awareness on the part of judges.</w:t>
      </w:r>
    </w:p>
    <w:p w:rsidR="001A56DC" w:rsidRPr="001A56DC" w:rsidRDefault="001A56DC" w:rsidP="001A56DC">
      <w:pPr>
        <w:pStyle w:val="NoSpacing"/>
        <w:jc w:val="both"/>
        <w:rPr>
          <w:rFonts w:ascii="Times New Roman" w:hAnsi="Times New Roman" w:cs="Times New Roman"/>
          <w:sz w:val="24"/>
          <w:szCs w:val="24"/>
        </w:rPr>
      </w:pPr>
    </w:p>
    <w:p w:rsidR="0062158B" w:rsidRPr="001A56DC" w:rsidRDefault="0062158B" w:rsidP="001A56DC">
      <w:pPr>
        <w:pStyle w:val="NoSpacing"/>
        <w:jc w:val="both"/>
        <w:rPr>
          <w:rFonts w:ascii="Times New Roman" w:hAnsi="Times New Roman" w:cs="Times New Roman"/>
          <w:b/>
          <w:sz w:val="24"/>
          <w:szCs w:val="24"/>
        </w:rPr>
      </w:pPr>
      <w:r w:rsidRPr="001A56DC">
        <w:rPr>
          <w:rFonts w:ascii="Times New Roman" w:hAnsi="Times New Roman" w:cs="Times New Roman"/>
          <w:b/>
          <w:sz w:val="24"/>
          <w:szCs w:val="24"/>
        </w:rPr>
        <w:t>10. Need for Legal Reforms</w:t>
      </w:r>
    </w:p>
    <w:p w:rsidR="0062158B" w:rsidRDefault="0062158B" w:rsidP="001A56DC">
      <w:pPr>
        <w:pStyle w:val="NoSpacing"/>
        <w:jc w:val="both"/>
        <w:rPr>
          <w:rFonts w:ascii="Times New Roman" w:hAnsi="Times New Roman" w:cs="Times New Roman"/>
          <w:sz w:val="24"/>
          <w:szCs w:val="24"/>
        </w:rPr>
      </w:pPr>
      <w:r w:rsidRPr="001A56DC">
        <w:rPr>
          <w:rFonts w:ascii="Times New Roman" w:hAnsi="Times New Roman" w:cs="Times New Roman"/>
          <w:sz w:val="24"/>
          <w:szCs w:val="24"/>
        </w:rPr>
        <w:t>Because digital technology is changing so quickly, the laws that govern electronic evidence need to change as well, especially when it comes to divorce cases. Existing laws serve as a foundation, but they frequently fall short in addressing the intricacies of digital interactions.</w:t>
      </w:r>
    </w:p>
    <w:p w:rsidR="001A56DC" w:rsidRPr="001A56DC" w:rsidRDefault="001A56DC" w:rsidP="001A56DC">
      <w:pPr>
        <w:pStyle w:val="NoSpacing"/>
        <w:jc w:val="both"/>
        <w:rPr>
          <w:rFonts w:ascii="Times New Roman" w:hAnsi="Times New Roman" w:cs="Times New Roman"/>
          <w:sz w:val="24"/>
          <w:szCs w:val="24"/>
        </w:rPr>
      </w:pPr>
    </w:p>
    <w:p w:rsidR="0062158B" w:rsidRDefault="0062158B" w:rsidP="001A56DC">
      <w:pPr>
        <w:pStyle w:val="NoSpacing"/>
        <w:jc w:val="both"/>
        <w:rPr>
          <w:rFonts w:ascii="Times New Roman" w:hAnsi="Times New Roman" w:cs="Times New Roman"/>
          <w:sz w:val="24"/>
          <w:szCs w:val="24"/>
        </w:rPr>
      </w:pPr>
      <w:r w:rsidRPr="001A56DC">
        <w:rPr>
          <w:rFonts w:ascii="Times New Roman" w:hAnsi="Times New Roman" w:cs="Times New Roman"/>
          <w:sz w:val="24"/>
          <w:szCs w:val="24"/>
        </w:rPr>
        <w:t>One of the main things that needs to change is making the rules for the Indian Evidence Act, 1872 easier to understand. Section 65B's strict requirements, which are meant to make sure evidence is real, may actually make it harder to get relevant evidence into court. It is necessary to implement a more adaptable strategy that reconciles procedural strictness with pragmatic considerations. Another important thing is to make clear rules for how to check and verify digital evidence. Courts need a set of standard rules to figure out how reliable electronic records are. These rules should cover things like the source, integrity, and context. The implementation of these guidelines would improve the consistency and predictability of judicial decisions.</w:t>
      </w:r>
    </w:p>
    <w:p w:rsidR="001A56DC" w:rsidRPr="001A56DC" w:rsidRDefault="001A56DC" w:rsidP="001A56DC">
      <w:pPr>
        <w:pStyle w:val="NoSpacing"/>
        <w:jc w:val="both"/>
        <w:rPr>
          <w:rFonts w:ascii="Times New Roman" w:hAnsi="Times New Roman" w:cs="Times New Roman"/>
          <w:sz w:val="24"/>
          <w:szCs w:val="24"/>
        </w:rPr>
      </w:pPr>
    </w:p>
    <w:p w:rsidR="0062158B" w:rsidRDefault="0062158B" w:rsidP="001A56DC">
      <w:pPr>
        <w:pStyle w:val="NoSpacing"/>
        <w:jc w:val="both"/>
        <w:rPr>
          <w:rFonts w:ascii="Times New Roman" w:hAnsi="Times New Roman" w:cs="Times New Roman"/>
          <w:sz w:val="24"/>
          <w:szCs w:val="24"/>
        </w:rPr>
      </w:pPr>
      <w:r w:rsidRPr="001A56DC">
        <w:rPr>
          <w:rFonts w:ascii="Times New Roman" w:hAnsi="Times New Roman" w:cs="Times New Roman"/>
          <w:sz w:val="24"/>
          <w:szCs w:val="24"/>
        </w:rPr>
        <w:t>In any reform effort, protecting people's right to privacy must also be a top priority. Legislative and judicial measures must guarantee that the utilization of digital evidence does not lead to unwarranted invasions of personal privacy. This could include protections against unauthorized access to and use of private information. In addition, judicial officers, lawyers, and law enforcement agencies need to learn more about technology and how to use it. If you know more about digital technology, you will be able to handle electronic evidence better and make fewer mistakes.</w:t>
      </w:r>
    </w:p>
    <w:p w:rsidR="001A56DC" w:rsidRPr="001A56DC" w:rsidRDefault="001A56DC" w:rsidP="001A56DC">
      <w:pPr>
        <w:pStyle w:val="NoSpacing"/>
        <w:jc w:val="both"/>
        <w:rPr>
          <w:rFonts w:ascii="Times New Roman" w:hAnsi="Times New Roman" w:cs="Times New Roman"/>
          <w:sz w:val="24"/>
          <w:szCs w:val="24"/>
        </w:rPr>
      </w:pPr>
    </w:p>
    <w:p w:rsidR="0062158B" w:rsidRDefault="0062158B" w:rsidP="001A56DC">
      <w:pPr>
        <w:pStyle w:val="NoSpacing"/>
        <w:jc w:val="both"/>
        <w:rPr>
          <w:rFonts w:ascii="Times New Roman" w:hAnsi="Times New Roman" w:cs="Times New Roman"/>
          <w:sz w:val="24"/>
          <w:szCs w:val="24"/>
        </w:rPr>
      </w:pPr>
      <w:r w:rsidRPr="001A56DC">
        <w:rPr>
          <w:rFonts w:ascii="Times New Roman" w:hAnsi="Times New Roman" w:cs="Times New Roman"/>
          <w:sz w:val="24"/>
          <w:szCs w:val="24"/>
        </w:rPr>
        <w:lastRenderedPageBreak/>
        <w:t>Another important reform is the creation of specialized forensic tools to check electronic records. Digital forensic experts can help courts figure out if evidence is real and complete, which makes the results of court cases more reliable. Finally, the law needs to change to keep up with how relationships are changing in the digital age. Ideas like digital intimacy and virtual misconduct should be part of legal discussions so that courts can better deal with modern marriage problems.</w:t>
      </w:r>
    </w:p>
    <w:p w:rsidR="001A56DC" w:rsidRPr="001A56DC" w:rsidRDefault="001A56DC" w:rsidP="001A56DC">
      <w:pPr>
        <w:pStyle w:val="NoSpacing"/>
        <w:jc w:val="both"/>
        <w:rPr>
          <w:rFonts w:ascii="Times New Roman" w:hAnsi="Times New Roman" w:cs="Times New Roman"/>
          <w:sz w:val="24"/>
          <w:szCs w:val="24"/>
        </w:rPr>
      </w:pPr>
    </w:p>
    <w:p w:rsidR="0062158B" w:rsidRPr="001A56DC" w:rsidRDefault="0062158B" w:rsidP="001A56DC">
      <w:pPr>
        <w:pStyle w:val="NoSpacing"/>
        <w:jc w:val="both"/>
        <w:rPr>
          <w:rFonts w:ascii="Times New Roman" w:hAnsi="Times New Roman" w:cs="Times New Roman"/>
          <w:b/>
          <w:sz w:val="24"/>
          <w:szCs w:val="24"/>
        </w:rPr>
      </w:pPr>
      <w:r w:rsidRPr="001A56DC">
        <w:rPr>
          <w:rFonts w:ascii="Times New Roman" w:hAnsi="Times New Roman" w:cs="Times New Roman"/>
          <w:b/>
          <w:sz w:val="24"/>
          <w:szCs w:val="24"/>
        </w:rPr>
        <w:t>12. Conclusion</w:t>
      </w:r>
    </w:p>
    <w:p w:rsidR="0062158B" w:rsidRPr="001A56DC" w:rsidRDefault="0062158B" w:rsidP="001A56DC">
      <w:pPr>
        <w:pStyle w:val="NoSpacing"/>
        <w:jc w:val="both"/>
        <w:rPr>
          <w:rFonts w:ascii="Times New Roman" w:hAnsi="Times New Roman" w:cs="Times New Roman"/>
          <w:sz w:val="24"/>
          <w:szCs w:val="24"/>
        </w:rPr>
      </w:pPr>
      <w:r w:rsidRPr="001A56DC">
        <w:rPr>
          <w:rFonts w:ascii="Times New Roman" w:hAnsi="Times New Roman" w:cs="Times New Roman"/>
          <w:sz w:val="24"/>
          <w:szCs w:val="24"/>
        </w:rPr>
        <w:t>The emergence of digital technology has significantly altered the dynamics of human relationships, resulting in novel modes of interaction that contest conventional legal structures. In the context of marital disputes, social media and digital communication have become significant evidentiary instruments, capable of disclosing the behavior, intentions, and emotional interactions of the parties involved. But using this kind of evidence comes with a lot of problems, such as problems with admissibility, authenticity, privacy, and misuse. The Indian legal system has made significant strides in acknowledging and governing electronic evidence; however, numerous deficiencies and discrepancies persist.</w:t>
      </w:r>
    </w:p>
    <w:p w:rsidR="0062158B" w:rsidRDefault="0062158B" w:rsidP="001A56DC">
      <w:pPr>
        <w:pStyle w:val="NoSpacing"/>
        <w:jc w:val="both"/>
        <w:rPr>
          <w:rFonts w:ascii="Times New Roman" w:hAnsi="Times New Roman" w:cs="Times New Roman"/>
          <w:sz w:val="24"/>
          <w:szCs w:val="24"/>
        </w:rPr>
      </w:pPr>
      <w:r w:rsidRPr="001A56DC">
        <w:rPr>
          <w:rFonts w:ascii="Times New Roman" w:hAnsi="Times New Roman" w:cs="Times New Roman"/>
          <w:sz w:val="24"/>
          <w:szCs w:val="24"/>
        </w:rPr>
        <w:t>To deal with these problems, we need to take a balanced and nuanced approach. Courts must uphold stringent evidentiary standards while also embracing a pragmatic approach that acknowledges the realities of digital communication. At the same time, protecting people's rights, especially their right to privacy, must always be a top priority. Legal changes, along with new technology and judges' awareness, are very important for making sure that social media evidence is used fairly and effectively in divorce cases. As digital interactions keep changing, the law needs to change with them in order to keep up with a world that is getting more complicated and connected.</w:t>
      </w:r>
    </w:p>
    <w:p w:rsidR="0062774E" w:rsidRDefault="0062774E" w:rsidP="001A56DC">
      <w:pPr>
        <w:pStyle w:val="NoSpacing"/>
        <w:jc w:val="both"/>
        <w:rPr>
          <w:rFonts w:ascii="Times New Roman" w:hAnsi="Times New Roman" w:cs="Times New Roman"/>
          <w:sz w:val="24"/>
          <w:szCs w:val="24"/>
        </w:rPr>
      </w:pPr>
    </w:p>
    <w:p w:rsidR="0062774E" w:rsidRDefault="0062774E" w:rsidP="001A56DC">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References:</w:t>
      </w:r>
    </w:p>
    <w:p w:rsidR="0062774E" w:rsidRPr="00696DCE" w:rsidRDefault="0062774E" w:rsidP="00696DCE">
      <w:pPr>
        <w:pStyle w:val="FootnoteText"/>
        <w:numPr>
          <w:ilvl w:val="0"/>
          <w:numId w:val="1"/>
        </w:numPr>
        <w:rPr>
          <w:rFonts w:ascii="Times New Roman" w:hAnsi="Times New Roman" w:cs="Times New Roman"/>
          <w:sz w:val="24"/>
          <w:szCs w:val="24"/>
          <w:lang w:val="en-US"/>
        </w:rPr>
      </w:pPr>
      <w:r w:rsidRPr="00696DCE">
        <w:rPr>
          <w:rFonts w:ascii="Times New Roman" w:hAnsi="Times New Roman" w:cs="Times New Roman"/>
          <w:sz w:val="24"/>
          <w:szCs w:val="24"/>
        </w:rPr>
        <w:t>Indian Evidence Act, 1872; Information Technology Act, 2000.</w:t>
      </w:r>
    </w:p>
    <w:p w:rsidR="0062774E" w:rsidRPr="00696DCE" w:rsidRDefault="0062774E" w:rsidP="00696DCE">
      <w:pPr>
        <w:pStyle w:val="FootnoteText"/>
        <w:numPr>
          <w:ilvl w:val="0"/>
          <w:numId w:val="1"/>
        </w:numPr>
        <w:rPr>
          <w:rFonts w:ascii="Times New Roman" w:hAnsi="Times New Roman" w:cs="Times New Roman"/>
          <w:sz w:val="24"/>
          <w:szCs w:val="24"/>
          <w:lang w:val="en-US"/>
        </w:rPr>
      </w:pPr>
      <w:r w:rsidRPr="00696DCE">
        <w:rPr>
          <w:rFonts w:ascii="Times New Roman" w:hAnsi="Times New Roman" w:cs="Times New Roman"/>
          <w:sz w:val="24"/>
          <w:szCs w:val="24"/>
        </w:rPr>
        <w:t>Indian Evidence Act, 1872, s65B.</w:t>
      </w:r>
    </w:p>
    <w:p w:rsidR="0062774E" w:rsidRPr="00696DCE" w:rsidRDefault="0062774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Anvar P.V. v. P.K. Basheer</w:t>
      </w:r>
      <w:r w:rsidRPr="00696DCE">
        <w:rPr>
          <w:rFonts w:ascii="Times New Roman" w:hAnsi="Times New Roman" w:cs="Times New Roman"/>
          <w:sz w:val="24"/>
          <w:szCs w:val="24"/>
        </w:rPr>
        <w:t>, (2014) 10 SCC 473.</w:t>
      </w:r>
    </w:p>
    <w:p w:rsidR="0062774E" w:rsidRPr="00696DCE" w:rsidRDefault="0062774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Shafhi Mohammad v. State of Himachal Pradesh</w:t>
      </w:r>
      <w:r w:rsidRPr="00696DCE">
        <w:rPr>
          <w:rFonts w:ascii="Times New Roman" w:hAnsi="Times New Roman" w:cs="Times New Roman"/>
          <w:sz w:val="24"/>
          <w:szCs w:val="24"/>
        </w:rPr>
        <w:t>, (2018) 2 SCC 801.</w:t>
      </w:r>
      <w:r w:rsidRPr="00696DCE">
        <w:rPr>
          <w:rStyle w:val="FootnoteReference"/>
          <w:rFonts w:ascii="Times New Roman" w:hAnsi="Times New Roman" w:cs="Times New Roman"/>
          <w:sz w:val="24"/>
          <w:szCs w:val="24"/>
        </w:rPr>
        <w:footnoteRef/>
      </w:r>
      <w:r w:rsidRPr="00696DCE">
        <w:rPr>
          <w:rStyle w:val="Emphasis"/>
          <w:rFonts w:ascii="Times New Roman" w:hAnsi="Times New Roman" w:cs="Times New Roman"/>
          <w:sz w:val="24"/>
          <w:szCs w:val="24"/>
        </w:rPr>
        <w:t>Arjun PanditraoKhotkar v. KailashKushanraoGorantyal</w:t>
      </w:r>
      <w:r w:rsidRPr="00696DCE">
        <w:rPr>
          <w:rFonts w:ascii="Times New Roman" w:hAnsi="Times New Roman" w:cs="Times New Roman"/>
          <w:sz w:val="24"/>
          <w:szCs w:val="24"/>
        </w:rPr>
        <w:t>, (2020) 7 SCC 1.</w:t>
      </w:r>
    </w:p>
    <w:p w:rsidR="0062774E" w:rsidRPr="00696DCE" w:rsidRDefault="0062774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Justice K.S. Puttaswamy v. Union of India</w:t>
      </w:r>
      <w:r w:rsidRPr="00696DCE">
        <w:rPr>
          <w:rFonts w:ascii="Times New Roman" w:hAnsi="Times New Roman" w:cs="Times New Roman"/>
          <w:sz w:val="24"/>
          <w:szCs w:val="24"/>
        </w:rPr>
        <w:t>, (2017) 10 SCC 1.</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Samar Ghosh v. Jaya Ghosh</w:t>
      </w:r>
      <w:r w:rsidRPr="00696DCE">
        <w:rPr>
          <w:rFonts w:ascii="Times New Roman" w:hAnsi="Times New Roman" w:cs="Times New Roman"/>
          <w:sz w:val="24"/>
          <w:szCs w:val="24"/>
        </w:rPr>
        <w:t>, (2007) 4 SCC 511.</w:t>
      </w:r>
    </w:p>
    <w:p w:rsidR="00696DCE" w:rsidRPr="00696DCE" w:rsidRDefault="00696DCE" w:rsidP="00696DCE">
      <w:pPr>
        <w:pStyle w:val="NoSpacing"/>
        <w:numPr>
          <w:ilvl w:val="0"/>
          <w:numId w:val="1"/>
        </w:numPr>
        <w:jc w:val="both"/>
        <w:rPr>
          <w:rFonts w:ascii="Times New Roman" w:hAnsi="Times New Roman" w:cs="Times New Roman"/>
          <w:sz w:val="24"/>
          <w:szCs w:val="24"/>
        </w:rPr>
      </w:pPr>
      <w:r w:rsidRPr="00696DCE">
        <w:rPr>
          <w:rStyle w:val="Emphasis"/>
          <w:rFonts w:ascii="Times New Roman" w:hAnsi="Times New Roman" w:cs="Times New Roman"/>
          <w:sz w:val="24"/>
          <w:szCs w:val="24"/>
        </w:rPr>
        <w:t>K. Srinivas Rao v. D.A. Deepa</w:t>
      </w:r>
      <w:r w:rsidRPr="00696DCE">
        <w:rPr>
          <w:rFonts w:ascii="Times New Roman" w:hAnsi="Times New Roman" w:cs="Times New Roman"/>
          <w:sz w:val="24"/>
          <w:szCs w:val="24"/>
        </w:rPr>
        <w:t>, (2013) 5 SCC 226.</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Fonts w:ascii="Times New Roman" w:hAnsi="Times New Roman" w:cs="Times New Roman"/>
          <w:sz w:val="24"/>
          <w:szCs w:val="24"/>
        </w:rPr>
        <w:t>Indian Evidence Act, 1872.</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Fonts w:ascii="Times New Roman" w:hAnsi="Times New Roman" w:cs="Times New Roman"/>
          <w:sz w:val="24"/>
          <w:szCs w:val="24"/>
        </w:rPr>
        <w:t>Id.</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Anvar P.V. v. P.K. Basheer</w:t>
      </w:r>
      <w:r w:rsidRPr="00696DCE">
        <w:rPr>
          <w:rFonts w:ascii="Times New Roman" w:hAnsi="Times New Roman" w:cs="Times New Roman"/>
          <w:sz w:val="24"/>
          <w:szCs w:val="24"/>
        </w:rPr>
        <w:t>, (2014) 10 SCC 473.</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Shafhi Mohammad v. State of Himachal Pradesh</w:t>
      </w:r>
      <w:r w:rsidRPr="00696DCE">
        <w:rPr>
          <w:rFonts w:ascii="Times New Roman" w:hAnsi="Times New Roman" w:cs="Times New Roman"/>
          <w:sz w:val="24"/>
          <w:szCs w:val="24"/>
        </w:rPr>
        <w:t>, (2018) 2 SCC 801.</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Arjun PanditraoKhotkar v. KailashKushanraoGorantyal</w:t>
      </w:r>
      <w:r w:rsidRPr="00696DCE">
        <w:rPr>
          <w:rFonts w:ascii="Times New Roman" w:hAnsi="Times New Roman" w:cs="Times New Roman"/>
          <w:sz w:val="24"/>
          <w:szCs w:val="24"/>
        </w:rPr>
        <w:t>, (2020) 7 SCC 1.</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Fonts w:ascii="Times New Roman" w:hAnsi="Times New Roman" w:cs="Times New Roman"/>
          <w:sz w:val="24"/>
          <w:szCs w:val="24"/>
        </w:rPr>
        <w:t>Information Technology Act, 2000.</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K. Srinivas Rao v. D.A. Deepa</w:t>
      </w:r>
      <w:r w:rsidRPr="00696DCE">
        <w:rPr>
          <w:rFonts w:ascii="Times New Roman" w:hAnsi="Times New Roman" w:cs="Times New Roman"/>
          <w:sz w:val="24"/>
          <w:szCs w:val="24"/>
        </w:rPr>
        <w:t>, (2013) 5 SCC 226.</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Samar Ghosh v. Jaya Ghosh</w:t>
      </w:r>
      <w:r w:rsidRPr="00696DCE">
        <w:rPr>
          <w:rFonts w:ascii="Times New Roman" w:hAnsi="Times New Roman" w:cs="Times New Roman"/>
          <w:sz w:val="24"/>
          <w:szCs w:val="24"/>
        </w:rPr>
        <w:t>, (2007) 4 SCC 511.</w:t>
      </w:r>
    </w:p>
    <w:p w:rsidR="00696DCE" w:rsidRPr="00696DCE" w:rsidRDefault="00696DCE" w:rsidP="00696DCE">
      <w:pPr>
        <w:pStyle w:val="ListParagraph"/>
        <w:numPr>
          <w:ilvl w:val="0"/>
          <w:numId w:val="1"/>
        </w:numPr>
        <w:rPr>
          <w:rFonts w:ascii="Times New Roman" w:hAnsi="Times New Roman" w:cs="Times New Roman"/>
          <w:sz w:val="24"/>
          <w:szCs w:val="24"/>
        </w:rPr>
      </w:pPr>
      <w:r w:rsidRPr="00696DCE">
        <w:rPr>
          <w:rStyle w:val="Emphasis"/>
          <w:rFonts w:ascii="Times New Roman" w:hAnsi="Times New Roman" w:cs="Times New Roman"/>
          <w:sz w:val="24"/>
          <w:szCs w:val="24"/>
        </w:rPr>
        <w:t>Justice K.S. Puttaswamy v. Union of India</w:t>
      </w:r>
      <w:r w:rsidRPr="00696DCE">
        <w:rPr>
          <w:rFonts w:ascii="Times New Roman" w:hAnsi="Times New Roman" w:cs="Times New Roman"/>
          <w:sz w:val="24"/>
          <w:szCs w:val="24"/>
        </w:rPr>
        <w:t>, (2017) 10 SCC 1.</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Smt. Anjali Sharma v. Raman Upadhyay</w:t>
      </w:r>
      <w:r w:rsidRPr="00696DCE">
        <w:rPr>
          <w:rFonts w:ascii="Times New Roman" w:hAnsi="Times New Roman" w:cs="Times New Roman"/>
          <w:sz w:val="24"/>
          <w:szCs w:val="24"/>
        </w:rPr>
        <w:t>, Misc. Petition No. 3395 of 2023 (Madhya Pradesh High Court).</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t>VibhorGarg v. Neha</w:t>
      </w:r>
      <w:r w:rsidRPr="00696DCE">
        <w:rPr>
          <w:rFonts w:ascii="Times New Roman" w:hAnsi="Times New Roman" w:cs="Times New Roman"/>
          <w:sz w:val="24"/>
          <w:szCs w:val="24"/>
        </w:rPr>
        <w:t>, SLP (C) No. 21195 of 2021 (Supreme Court, 2025).</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Fonts w:ascii="Times New Roman" w:hAnsi="Times New Roman" w:cs="Times New Roman"/>
          <w:sz w:val="24"/>
          <w:szCs w:val="24"/>
        </w:rPr>
        <w:t>Orissa High Court, judgment on misuse of matrimonial proceedings and omnibus allegations (2025–2026).</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Fonts w:ascii="Times New Roman" w:hAnsi="Times New Roman" w:cs="Times New Roman"/>
          <w:sz w:val="24"/>
          <w:szCs w:val="24"/>
        </w:rPr>
        <w:t>Delhi High Court, series of judgments on quashing matrimonial FIRs upon settlement (2025).</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Fonts w:ascii="Times New Roman" w:hAnsi="Times New Roman" w:cs="Times New Roman"/>
          <w:sz w:val="24"/>
          <w:szCs w:val="24"/>
        </w:rPr>
        <w:lastRenderedPageBreak/>
        <w:t>Indian Evidence Act, 1872.</w:t>
      </w:r>
    </w:p>
    <w:p w:rsidR="00696DCE" w:rsidRPr="00696DCE" w:rsidRDefault="00696DCE" w:rsidP="00696DCE">
      <w:pPr>
        <w:pStyle w:val="FootnoteText"/>
        <w:numPr>
          <w:ilvl w:val="0"/>
          <w:numId w:val="1"/>
        </w:numPr>
        <w:rPr>
          <w:rFonts w:ascii="Times New Roman" w:hAnsi="Times New Roman" w:cs="Times New Roman"/>
          <w:sz w:val="24"/>
          <w:szCs w:val="24"/>
          <w:lang w:val="en-US"/>
        </w:rPr>
      </w:pPr>
      <w:r w:rsidRPr="00696DCE">
        <w:rPr>
          <w:rStyle w:val="Emphasis"/>
          <w:rFonts w:ascii="Times New Roman" w:hAnsi="Times New Roman" w:cs="Times New Roman"/>
          <w:sz w:val="24"/>
          <w:szCs w:val="24"/>
        </w:rPr>
        <w:lastRenderedPageBreak/>
        <w:t>Justice K.S. Puttaswamy v. Union of India</w:t>
      </w:r>
      <w:r w:rsidRPr="00696DCE">
        <w:rPr>
          <w:rFonts w:ascii="Times New Roman" w:hAnsi="Times New Roman" w:cs="Times New Roman"/>
          <w:sz w:val="24"/>
          <w:szCs w:val="24"/>
        </w:rPr>
        <w:t>, (2017) 10 SCC 1.</w:t>
      </w:r>
    </w:p>
    <w:p w:rsidR="003919B2" w:rsidRDefault="003919B2" w:rsidP="00696DCE">
      <w:pPr>
        <w:sectPr w:rsidR="003919B2" w:rsidSect="003919B2">
          <w:headerReference w:type="default" r:id="rId7"/>
          <w:footerReference w:type="default" r:id="rId8"/>
          <w:pgSz w:w="11906" w:h="16838"/>
          <w:pgMar w:top="1440" w:right="1440" w:bottom="1440" w:left="1440" w:header="708" w:footer="708" w:gutter="0"/>
          <w:cols w:num="2" w:space="708"/>
          <w:docGrid w:linePitch="360"/>
        </w:sectPr>
      </w:pPr>
    </w:p>
    <w:p w:rsidR="0062774E" w:rsidRPr="00696DCE" w:rsidRDefault="0062774E" w:rsidP="00696DCE"/>
    <w:sectPr w:rsidR="0062774E" w:rsidRPr="00696DCE" w:rsidSect="003919B2">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1B3" w:rsidRDefault="00CE71B3" w:rsidP="00F35640">
      <w:pPr>
        <w:spacing w:after="0" w:line="240" w:lineRule="auto"/>
      </w:pPr>
      <w:r>
        <w:separator/>
      </w:r>
    </w:p>
  </w:endnote>
  <w:endnote w:type="continuationSeparator" w:id="1">
    <w:p w:rsidR="00CE71B3" w:rsidRDefault="00CE71B3" w:rsidP="00F356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74E" w:rsidRDefault="0062774E" w:rsidP="0062774E">
    <w:pPr>
      <w:pStyle w:val="Footer"/>
      <w:pBdr>
        <w:top w:val="thinThickSmallGap" w:sz="24" w:space="1" w:color="823B0B" w:themeColor="accent2" w:themeShade="7F"/>
      </w:pBdr>
      <w:jc w:val="both"/>
      <w:rPr>
        <w:rFonts w:asciiTheme="majorHAnsi" w:hAnsiTheme="majorHAnsi"/>
      </w:rPr>
    </w:pPr>
    <w:r w:rsidRPr="0062774E">
      <w:rPr>
        <w:rFonts w:ascii="Times New Roman" w:hAnsi="Times New Roman" w:cs="Times New Roman"/>
        <w:sz w:val="24"/>
        <w:szCs w:val="24"/>
      </w:rPr>
      <w:t>International Journal of Law &amp; Research</w:t>
    </w:r>
    <w:r w:rsidRPr="0062774E">
      <w:rPr>
        <w:rFonts w:ascii="Times New Roman" w:hAnsi="Times New Roman" w:cs="Times New Roman"/>
        <w:sz w:val="24"/>
        <w:szCs w:val="24"/>
      </w:rPr>
      <w:ptab w:relativeTo="margin" w:alignment="right" w:leader="none"/>
    </w:r>
    <w:r w:rsidRPr="0062774E">
      <w:rPr>
        <w:rFonts w:ascii="Times New Roman" w:hAnsi="Times New Roman" w:cs="Times New Roman"/>
        <w:sz w:val="24"/>
        <w:szCs w:val="24"/>
      </w:rPr>
      <w:t>Page</w:t>
    </w:r>
    <w:r>
      <w:rPr>
        <w:rFonts w:asciiTheme="majorHAnsi" w:hAnsiTheme="majorHAnsi"/>
      </w:rPr>
      <w:t xml:space="preserve"> </w:t>
    </w:r>
    <w:fldSimple w:instr=" PAGE   \* MERGEFORMAT ">
      <w:r w:rsidR="00AD4F1F" w:rsidRPr="00AD4F1F">
        <w:rPr>
          <w:rFonts w:asciiTheme="majorHAnsi" w:hAnsiTheme="majorHAnsi"/>
          <w:noProof/>
        </w:rPr>
        <w:t>10</w:t>
      </w:r>
    </w:fldSimple>
  </w:p>
  <w:p w:rsidR="00E17CDA" w:rsidRDefault="00E17C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1B3" w:rsidRDefault="00CE71B3" w:rsidP="00F35640">
      <w:pPr>
        <w:spacing w:after="0" w:line="240" w:lineRule="auto"/>
      </w:pPr>
      <w:r>
        <w:separator/>
      </w:r>
    </w:p>
  </w:footnote>
  <w:footnote w:type="continuationSeparator" w:id="1">
    <w:p w:rsidR="00CE71B3" w:rsidRDefault="00CE71B3" w:rsidP="00F35640">
      <w:pPr>
        <w:spacing w:after="0" w:line="240" w:lineRule="auto"/>
      </w:pPr>
      <w:r>
        <w:continuationSeparator/>
      </w:r>
    </w:p>
  </w:footnote>
  <w:footnote w:id="2">
    <w:p w:rsidR="000E2B98" w:rsidRPr="000E2B98" w:rsidRDefault="000E2B98">
      <w:pPr>
        <w:pStyle w:val="FootnoteText"/>
        <w:rPr>
          <w:lang w:val="en-US"/>
        </w:rPr>
      </w:pPr>
      <w:r>
        <w:rPr>
          <w:rStyle w:val="FootnoteReference"/>
        </w:rPr>
        <w:footnoteRef/>
      </w:r>
      <w:r>
        <w:t xml:space="preserve"> </w:t>
      </w:r>
      <w:r>
        <w:rPr>
          <w:lang w:val="en-US"/>
        </w:rPr>
        <w:t>Research Scholar Teerthanker nMahaveer University, Moradabad, U.P.</w:t>
      </w:r>
    </w:p>
  </w:footnote>
  <w:footnote w:id="3">
    <w:p w:rsidR="00F35640" w:rsidRPr="007869C0" w:rsidRDefault="00F35640"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Fonts w:ascii="Times New Roman" w:hAnsi="Times New Roman" w:cs="Times New Roman"/>
        </w:rPr>
        <w:t>Indian Evidence Act, 1872; Information Technology Act, 2000.</w:t>
      </w:r>
    </w:p>
  </w:footnote>
  <w:footnote w:id="4">
    <w:p w:rsidR="00F35640" w:rsidRPr="007869C0" w:rsidRDefault="00F35640"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Fonts w:ascii="Times New Roman" w:hAnsi="Times New Roman" w:cs="Times New Roman"/>
        </w:rPr>
        <w:t>Indian Evidence Act, 1872, s65B.</w:t>
      </w:r>
    </w:p>
  </w:footnote>
  <w:footnote w:id="5">
    <w:p w:rsidR="00DC3DAF" w:rsidRPr="007869C0" w:rsidRDefault="00DC3DAF"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Anvar P.V. v. P.K. Basheer</w:t>
      </w:r>
      <w:r w:rsidRPr="007869C0">
        <w:rPr>
          <w:rFonts w:ascii="Times New Roman" w:hAnsi="Times New Roman" w:cs="Times New Roman"/>
        </w:rPr>
        <w:t>, (2014) 10 SCC 473.</w:t>
      </w:r>
    </w:p>
  </w:footnote>
  <w:footnote w:id="6">
    <w:p w:rsidR="00DC3DAF" w:rsidRPr="007869C0" w:rsidRDefault="00DC3DAF"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Shafhi Mohammad v. State of Himachal Pradesh</w:t>
      </w:r>
      <w:r w:rsidRPr="007869C0">
        <w:rPr>
          <w:rFonts w:ascii="Times New Roman" w:hAnsi="Times New Roman" w:cs="Times New Roman"/>
        </w:rPr>
        <w:t>, (2018) 2 SCC 801.</w:t>
      </w:r>
    </w:p>
  </w:footnote>
  <w:footnote w:id="7">
    <w:p w:rsidR="00DC3DAF" w:rsidRPr="007869C0" w:rsidRDefault="00DC3DAF"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Arjun PanditraoKhotkar v. KailashKushanraoGorantyal</w:t>
      </w:r>
      <w:r w:rsidRPr="007869C0">
        <w:rPr>
          <w:rFonts w:ascii="Times New Roman" w:hAnsi="Times New Roman" w:cs="Times New Roman"/>
        </w:rPr>
        <w:t>, (2020) 7 SCC 1.</w:t>
      </w:r>
    </w:p>
  </w:footnote>
  <w:footnote w:id="8">
    <w:p w:rsidR="00DC3DAF" w:rsidRPr="007869C0" w:rsidRDefault="00DC3DAF"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Justice K.S. Puttaswamy v. Union of India</w:t>
      </w:r>
      <w:r w:rsidRPr="007869C0">
        <w:rPr>
          <w:rFonts w:ascii="Times New Roman" w:hAnsi="Times New Roman" w:cs="Times New Roman"/>
        </w:rPr>
        <w:t>, (2017) 10 SCC 1.</w:t>
      </w:r>
    </w:p>
  </w:footnote>
  <w:footnote w:id="9">
    <w:p w:rsidR="009E53F6" w:rsidRPr="007869C0" w:rsidRDefault="009E53F6"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Samar Ghosh v. Jaya Ghosh</w:t>
      </w:r>
      <w:r w:rsidRPr="007869C0">
        <w:rPr>
          <w:rFonts w:ascii="Times New Roman" w:hAnsi="Times New Roman" w:cs="Times New Roman"/>
        </w:rPr>
        <w:t>, (2007) 4 SCC 511.</w:t>
      </w:r>
    </w:p>
  </w:footnote>
  <w:footnote w:id="10">
    <w:p w:rsidR="009E53F6" w:rsidRPr="009E53F6" w:rsidRDefault="009E53F6" w:rsidP="007869C0">
      <w:pPr>
        <w:pStyle w:val="FootnoteText"/>
        <w:jc w:val="both"/>
        <w:rPr>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K. Srinivas Rao v. D.A. Deepa</w:t>
      </w:r>
      <w:r w:rsidRPr="007869C0">
        <w:rPr>
          <w:rFonts w:ascii="Times New Roman" w:hAnsi="Times New Roman" w:cs="Times New Roman"/>
        </w:rPr>
        <w:t>, (2013) 5 SCC 226</w:t>
      </w:r>
      <w:r>
        <w:t>.</w:t>
      </w:r>
    </w:p>
  </w:footnote>
  <w:footnote w:id="11">
    <w:p w:rsidR="00B53E47" w:rsidRPr="007869C0" w:rsidRDefault="00B53E47"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Fonts w:ascii="Times New Roman" w:hAnsi="Times New Roman" w:cs="Times New Roman"/>
        </w:rPr>
        <w:t>Indian Evidence Act, 1872.</w:t>
      </w:r>
    </w:p>
  </w:footnote>
  <w:footnote w:id="12">
    <w:p w:rsidR="00B53E47" w:rsidRPr="007869C0" w:rsidRDefault="00B53E47"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Fonts w:ascii="Times New Roman" w:hAnsi="Times New Roman" w:cs="Times New Roman"/>
        </w:rPr>
        <w:t xml:space="preserve"> Id.</w:t>
      </w:r>
    </w:p>
  </w:footnote>
  <w:footnote w:id="13">
    <w:p w:rsidR="00B53E47" w:rsidRPr="007869C0" w:rsidRDefault="00B53E47"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Anvar P.V. v. P.K. Basheer</w:t>
      </w:r>
      <w:r w:rsidRPr="007869C0">
        <w:rPr>
          <w:rFonts w:ascii="Times New Roman" w:hAnsi="Times New Roman" w:cs="Times New Roman"/>
        </w:rPr>
        <w:t>, (2014) 10 SCC 473.</w:t>
      </w:r>
    </w:p>
  </w:footnote>
  <w:footnote w:id="14">
    <w:p w:rsidR="00B53E47" w:rsidRPr="007869C0" w:rsidRDefault="00B53E47"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Shafhi Mohammad v. State of Himachal Pradesh</w:t>
      </w:r>
      <w:r w:rsidRPr="007869C0">
        <w:rPr>
          <w:rFonts w:ascii="Times New Roman" w:hAnsi="Times New Roman" w:cs="Times New Roman"/>
        </w:rPr>
        <w:t>, (2018) 2 SCC 801.</w:t>
      </w:r>
    </w:p>
  </w:footnote>
  <w:footnote w:id="15">
    <w:p w:rsidR="00B53E47" w:rsidRPr="007869C0" w:rsidRDefault="00B53E47"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Arjun PanditraoKhotkar v. KailashKushanraoGorantyal</w:t>
      </w:r>
      <w:r w:rsidRPr="007869C0">
        <w:rPr>
          <w:rFonts w:ascii="Times New Roman" w:hAnsi="Times New Roman" w:cs="Times New Roman"/>
        </w:rPr>
        <w:t>, (2020) 7 SCC 1.</w:t>
      </w:r>
    </w:p>
  </w:footnote>
  <w:footnote w:id="16">
    <w:p w:rsidR="00B53E47" w:rsidRPr="00B53E47" w:rsidRDefault="00B53E47" w:rsidP="007869C0">
      <w:pPr>
        <w:pStyle w:val="FootnoteText"/>
        <w:jc w:val="both"/>
        <w:rPr>
          <w:lang w:val="en-US"/>
        </w:rPr>
      </w:pPr>
      <w:r w:rsidRPr="007869C0">
        <w:rPr>
          <w:rStyle w:val="FootnoteReference"/>
          <w:rFonts w:ascii="Times New Roman" w:hAnsi="Times New Roman" w:cs="Times New Roman"/>
        </w:rPr>
        <w:footnoteRef/>
      </w:r>
      <w:r w:rsidRPr="007869C0">
        <w:rPr>
          <w:rFonts w:ascii="Times New Roman" w:hAnsi="Times New Roman" w:cs="Times New Roman"/>
        </w:rPr>
        <w:t>Information Technology Act, 2000</w:t>
      </w:r>
      <w:r>
        <w:t>.</w:t>
      </w:r>
    </w:p>
  </w:footnote>
  <w:footnote w:id="17">
    <w:p w:rsidR="00B53E47" w:rsidRPr="007869C0" w:rsidRDefault="00B53E47"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K. Srinivas Rao v. D.A. Deepa</w:t>
      </w:r>
      <w:r w:rsidRPr="007869C0">
        <w:rPr>
          <w:rFonts w:ascii="Times New Roman" w:hAnsi="Times New Roman" w:cs="Times New Roman"/>
        </w:rPr>
        <w:t>, (2013) 5 SCC 226.</w:t>
      </w:r>
    </w:p>
  </w:footnote>
  <w:footnote w:id="18">
    <w:p w:rsidR="00B53E47" w:rsidRPr="007869C0" w:rsidRDefault="00B53E47"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Samar Ghosh v. Jaya Ghosh</w:t>
      </w:r>
      <w:r w:rsidRPr="007869C0">
        <w:rPr>
          <w:rFonts w:ascii="Times New Roman" w:hAnsi="Times New Roman" w:cs="Times New Roman"/>
        </w:rPr>
        <w:t>, (2007) 4 SCC 511.</w:t>
      </w:r>
    </w:p>
  </w:footnote>
  <w:footnote w:id="19">
    <w:p w:rsidR="004A02ED" w:rsidRPr="007869C0" w:rsidRDefault="004A02ED"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Justice K.S. Puttaswamy v. Union of India</w:t>
      </w:r>
      <w:r w:rsidRPr="007869C0">
        <w:rPr>
          <w:rFonts w:ascii="Times New Roman" w:hAnsi="Times New Roman" w:cs="Times New Roman"/>
        </w:rPr>
        <w:t>, (2017) 10 SCC 1.</w:t>
      </w:r>
    </w:p>
  </w:footnote>
  <w:footnote w:id="20">
    <w:p w:rsidR="004A02ED" w:rsidRPr="007869C0" w:rsidRDefault="004A02ED"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Smt. Anjali Sharma v. Raman Upadhyay</w:t>
      </w:r>
      <w:r w:rsidRPr="007869C0">
        <w:rPr>
          <w:rFonts w:ascii="Times New Roman" w:hAnsi="Times New Roman" w:cs="Times New Roman"/>
        </w:rPr>
        <w:t>, Misc. Petition No. 3395 of 2023 (Madhya Pradesh High Court).</w:t>
      </w:r>
    </w:p>
  </w:footnote>
  <w:footnote w:id="21">
    <w:p w:rsidR="004A02ED" w:rsidRPr="007869C0" w:rsidRDefault="004A02ED"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VibhorGarg v. Neha</w:t>
      </w:r>
      <w:r w:rsidRPr="007869C0">
        <w:rPr>
          <w:rFonts w:ascii="Times New Roman" w:hAnsi="Times New Roman" w:cs="Times New Roman"/>
        </w:rPr>
        <w:t>, SLP (C) No. 21195 of 2021 (Supreme Court, 2025).</w:t>
      </w:r>
    </w:p>
  </w:footnote>
  <w:footnote w:id="22">
    <w:p w:rsidR="004A02ED" w:rsidRPr="007869C0" w:rsidRDefault="004A02ED"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Fonts w:ascii="Times New Roman" w:hAnsi="Times New Roman" w:cs="Times New Roman"/>
        </w:rPr>
        <w:t>Orissa High Court, judgment on misuse of matrimonial proceedings and omnibus allegations (2025–2026).</w:t>
      </w:r>
    </w:p>
  </w:footnote>
  <w:footnote w:id="23">
    <w:p w:rsidR="004A02ED" w:rsidRPr="007869C0" w:rsidRDefault="004A02ED"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Fonts w:ascii="Times New Roman" w:hAnsi="Times New Roman" w:cs="Times New Roman"/>
        </w:rPr>
        <w:t>Delhi High Court, series of judgments on quashing matrimonial FIRs upon settlement (2025).</w:t>
      </w:r>
    </w:p>
  </w:footnote>
  <w:footnote w:id="24">
    <w:p w:rsidR="004A02ED" w:rsidRPr="004A02ED" w:rsidRDefault="004A02ED" w:rsidP="007869C0">
      <w:pPr>
        <w:pStyle w:val="FootnoteText"/>
        <w:jc w:val="both"/>
        <w:rPr>
          <w:lang w:val="en-US"/>
        </w:rPr>
      </w:pPr>
      <w:r w:rsidRPr="007869C0">
        <w:rPr>
          <w:rStyle w:val="FootnoteReference"/>
          <w:rFonts w:ascii="Times New Roman" w:hAnsi="Times New Roman" w:cs="Times New Roman"/>
        </w:rPr>
        <w:footnoteRef/>
      </w:r>
      <w:r w:rsidRPr="007869C0">
        <w:rPr>
          <w:rFonts w:ascii="Times New Roman" w:hAnsi="Times New Roman" w:cs="Times New Roman"/>
        </w:rPr>
        <w:t>Indian Evidence Act, 1872</w:t>
      </w:r>
      <w:r>
        <w:t>.</w:t>
      </w:r>
    </w:p>
  </w:footnote>
  <w:footnote w:id="25">
    <w:p w:rsidR="004A02ED" w:rsidRPr="007869C0" w:rsidRDefault="004A02ED" w:rsidP="007869C0">
      <w:pPr>
        <w:pStyle w:val="FootnoteText"/>
        <w:jc w:val="both"/>
        <w:rPr>
          <w:rFonts w:ascii="Times New Roman" w:hAnsi="Times New Roman" w:cs="Times New Roman"/>
          <w:lang w:val="en-US"/>
        </w:rPr>
      </w:pPr>
      <w:r w:rsidRPr="007869C0">
        <w:rPr>
          <w:rStyle w:val="FootnoteReference"/>
          <w:rFonts w:ascii="Times New Roman" w:hAnsi="Times New Roman" w:cs="Times New Roman"/>
        </w:rPr>
        <w:footnoteRef/>
      </w:r>
      <w:r w:rsidRPr="007869C0">
        <w:rPr>
          <w:rStyle w:val="Emphasis"/>
          <w:rFonts w:ascii="Times New Roman" w:hAnsi="Times New Roman" w:cs="Times New Roman"/>
        </w:rPr>
        <w:t>Justice K.S. Puttaswamy v. Union of India</w:t>
      </w:r>
      <w:r w:rsidRPr="007869C0">
        <w:rPr>
          <w:rFonts w:ascii="Times New Roman" w:hAnsi="Times New Roman" w:cs="Times New Roman"/>
        </w:rPr>
        <w:t>, (2017) 10 SCC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sz w:val="24"/>
        <w:szCs w:val="24"/>
      </w:rPr>
      <w:alias w:val="Title"/>
      <w:id w:val="77738743"/>
      <w:placeholder>
        <w:docPart w:val="742364219F734093B0A80A70A330CB25"/>
      </w:placeholder>
      <w:dataBinding w:prefixMappings="xmlns:ns0='http://schemas.openxmlformats.org/package/2006/metadata/core-properties' xmlns:ns1='http://purl.org/dc/elements/1.1/'" w:xpath="/ns0:coreProperties[1]/ns1:title[1]" w:storeItemID="{6C3C8BC8-F283-45AE-878A-BAB7291924A1}"/>
      <w:text/>
    </w:sdtPr>
    <w:sdtContent>
      <w:p w:rsidR="00E17CDA" w:rsidRDefault="00E17CDA" w:rsidP="00E17CDA">
        <w:pPr>
          <w:pStyle w:val="Header"/>
          <w:pBdr>
            <w:bottom w:val="thickThinSmallGap" w:sz="24" w:space="1" w:color="823B0B" w:themeColor="accent2" w:themeShade="7F"/>
          </w:pBdr>
          <w:jc w:val="both"/>
          <w:rPr>
            <w:rFonts w:asciiTheme="majorHAnsi" w:eastAsiaTheme="majorEastAsia" w:hAnsiTheme="majorHAnsi" w:cstheme="majorBidi"/>
            <w:sz w:val="32"/>
            <w:szCs w:val="32"/>
          </w:rPr>
        </w:pPr>
        <w:r w:rsidRPr="00E17CDA">
          <w:rPr>
            <w:rFonts w:ascii="Times New Roman" w:eastAsiaTheme="majorEastAsia" w:hAnsi="Times New Roman" w:cs="Times New Roman"/>
            <w:sz w:val="24"/>
            <w:szCs w:val="24"/>
          </w:rPr>
          <w:t xml:space="preserve">ISSN..XXXX                           </w:t>
        </w:r>
        <w:r>
          <w:rPr>
            <w:rFonts w:ascii="Times New Roman" w:eastAsiaTheme="majorEastAsia" w:hAnsi="Times New Roman" w:cs="Times New Roman"/>
            <w:sz w:val="24"/>
            <w:szCs w:val="24"/>
          </w:rPr>
          <w:t xml:space="preserve">                         </w:t>
        </w:r>
        <w:r w:rsidRPr="00E17CDA">
          <w:rPr>
            <w:rFonts w:ascii="Times New Roman" w:eastAsiaTheme="majorEastAsia" w:hAnsi="Times New Roman" w:cs="Times New Roman"/>
            <w:sz w:val="24"/>
            <w:szCs w:val="24"/>
          </w:rPr>
          <w:t xml:space="preserve">                             Vol...Issue..(June-Aug.2026)</w:t>
        </w:r>
      </w:p>
    </w:sdtContent>
  </w:sdt>
  <w:p w:rsidR="00E17CDA" w:rsidRDefault="00E17C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F6915"/>
    <w:multiLevelType w:val="hybridMultilevel"/>
    <w:tmpl w:val="16063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F35640"/>
    <w:rsid w:val="000041E1"/>
    <w:rsid w:val="000E1C61"/>
    <w:rsid w:val="000E2B98"/>
    <w:rsid w:val="00187F74"/>
    <w:rsid w:val="001A56DC"/>
    <w:rsid w:val="001F1A31"/>
    <w:rsid w:val="00234C11"/>
    <w:rsid w:val="00243CAE"/>
    <w:rsid w:val="003919B2"/>
    <w:rsid w:val="003C3D76"/>
    <w:rsid w:val="004A02ED"/>
    <w:rsid w:val="004A654A"/>
    <w:rsid w:val="0062158B"/>
    <w:rsid w:val="0062774E"/>
    <w:rsid w:val="00696DCE"/>
    <w:rsid w:val="006F4519"/>
    <w:rsid w:val="007869C0"/>
    <w:rsid w:val="007F506A"/>
    <w:rsid w:val="008E24D1"/>
    <w:rsid w:val="008E373A"/>
    <w:rsid w:val="00923AFA"/>
    <w:rsid w:val="009C3749"/>
    <w:rsid w:val="009E53F6"/>
    <w:rsid w:val="00AD4F1F"/>
    <w:rsid w:val="00B468E9"/>
    <w:rsid w:val="00B51670"/>
    <w:rsid w:val="00B53E47"/>
    <w:rsid w:val="00B56C6A"/>
    <w:rsid w:val="00CE71B3"/>
    <w:rsid w:val="00D9110E"/>
    <w:rsid w:val="00DC3DAF"/>
    <w:rsid w:val="00E17CDA"/>
    <w:rsid w:val="00F17C92"/>
    <w:rsid w:val="00F356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7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356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5640"/>
    <w:rPr>
      <w:sz w:val="20"/>
      <w:szCs w:val="20"/>
    </w:rPr>
  </w:style>
  <w:style w:type="character" w:styleId="FootnoteReference">
    <w:name w:val="footnote reference"/>
    <w:basedOn w:val="DefaultParagraphFont"/>
    <w:uiPriority w:val="99"/>
    <w:semiHidden/>
    <w:unhideWhenUsed/>
    <w:rsid w:val="00F35640"/>
    <w:rPr>
      <w:vertAlign w:val="superscript"/>
    </w:rPr>
  </w:style>
  <w:style w:type="character" w:styleId="Emphasis">
    <w:name w:val="Emphasis"/>
    <w:basedOn w:val="DefaultParagraphFont"/>
    <w:uiPriority w:val="20"/>
    <w:qFormat/>
    <w:rsid w:val="00DC3DAF"/>
    <w:rPr>
      <w:i/>
      <w:iCs/>
    </w:rPr>
  </w:style>
  <w:style w:type="paragraph" w:styleId="ListParagraph">
    <w:name w:val="List Paragraph"/>
    <w:basedOn w:val="Normal"/>
    <w:uiPriority w:val="34"/>
    <w:qFormat/>
    <w:rsid w:val="009E53F6"/>
    <w:pPr>
      <w:ind w:left="720"/>
      <w:contextualSpacing/>
    </w:pPr>
  </w:style>
  <w:style w:type="paragraph" w:styleId="Header">
    <w:name w:val="header"/>
    <w:basedOn w:val="Normal"/>
    <w:link w:val="HeaderChar"/>
    <w:uiPriority w:val="99"/>
    <w:unhideWhenUsed/>
    <w:rsid w:val="00E17C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CDA"/>
  </w:style>
  <w:style w:type="paragraph" w:styleId="Footer">
    <w:name w:val="footer"/>
    <w:basedOn w:val="Normal"/>
    <w:link w:val="FooterChar"/>
    <w:uiPriority w:val="99"/>
    <w:unhideWhenUsed/>
    <w:rsid w:val="00E17C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CDA"/>
  </w:style>
  <w:style w:type="paragraph" w:styleId="BalloonText">
    <w:name w:val="Balloon Text"/>
    <w:basedOn w:val="Normal"/>
    <w:link w:val="BalloonTextChar"/>
    <w:uiPriority w:val="99"/>
    <w:semiHidden/>
    <w:unhideWhenUsed/>
    <w:rsid w:val="00E17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CDA"/>
    <w:rPr>
      <w:rFonts w:ascii="Tahoma" w:hAnsi="Tahoma" w:cs="Tahoma"/>
      <w:sz w:val="16"/>
      <w:szCs w:val="16"/>
    </w:rPr>
  </w:style>
  <w:style w:type="paragraph" w:styleId="NoSpacing">
    <w:name w:val="No Spacing"/>
    <w:uiPriority w:val="1"/>
    <w:qFormat/>
    <w:rsid w:val="00243CAE"/>
    <w:pPr>
      <w:spacing w:after="0" w:line="240" w:lineRule="auto"/>
    </w:pPr>
  </w:style>
</w:styles>
</file>

<file path=word/webSettings.xml><?xml version="1.0" encoding="utf-8"?>
<w:webSettings xmlns:r="http://schemas.openxmlformats.org/officeDocument/2006/relationships" xmlns:w="http://schemas.openxmlformats.org/wordprocessingml/2006/main">
  <w:divs>
    <w:div w:id="66191418">
      <w:bodyDiv w:val="1"/>
      <w:marLeft w:val="0"/>
      <w:marRight w:val="0"/>
      <w:marTop w:val="0"/>
      <w:marBottom w:val="0"/>
      <w:divBdr>
        <w:top w:val="none" w:sz="0" w:space="0" w:color="auto"/>
        <w:left w:val="none" w:sz="0" w:space="0" w:color="auto"/>
        <w:bottom w:val="none" w:sz="0" w:space="0" w:color="auto"/>
        <w:right w:val="none" w:sz="0" w:space="0" w:color="auto"/>
      </w:divBdr>
    </w:div>
    <w:div w:id="552233538">
      <w:bodyDiv w:val="1"/>
      <w:marLeft w:val="0"/>
      <w:marRight w:val="0"/>
      <w:marTop w:val="0"/>
      <w:marBottom w:val="0"/>
      <w:divBdr>
        <w:top w:val="none" w:sz="0" w:space="0" w:color="auto"/>
        <w:left w:val="none" w:sz="0" w:space="0" w:color="auto"/>
        <w:bottom w:val="none" w:sz="0" w:space="0" w:color="auto"/>
        <w:right w:val="none" w:sz="0" w:space="0" w:color="auto"/>
      </w:divBdr>
    </w:div>
    <w:div w:id="642975000">
      <w:bodyDiv w:val="1"/>
      <w:marLeft w:val="0"/>
      <w:marRight w:val="0"/>
      <w:marTop w:val="0"/>
      <w:marBottom w:val="0"/>
      <w:divBdr>
        <w:top w:val="none" w:sz="0" w:space="0" w:color="auto"/>
        <w:left w:val="none" w:sz="0" w:space="0" w:color="auto"/>
        <w:bottom w:val="none" w:sz="0" w:space="0" w:color="auto"/>
        <w:right w:val="none" w:sz="0" w:space="0" w:color="auto"/>
      </w:divBdr>
    </w:div>
    <w:div w:id="754518232">
      <w:bodyDiv w:val="1"/>
      <w:marLeft w:val="0"/>
      <w:marRight w:val="0"/>
      <w:marTop w:val="0"/>
      <w:marBottom w:val="0"/>
      <w:divBdr>
        <w:top w:val="none" w:sz="0" w:space="0" w:color="auto"/>
        <w:left w:val="none" w:sz="0" w:space="0" w:color="auto"/>
        <w:bottom w:val="none" w:sz="0" w:space="0" w:color="auto"/>
        <w:right w:val="none" w:sz="0" w:space="0" w:color="auto"/>
      </w:divBdr>
    </w:div>
    <w:div w:id="1050769587">
      <w:bodyDiv w:val="1"/>
      <w:marLeft w:val="0"/>
      <w:marRight w:val="0"/>
      <w:marTop w:val="0"/>
      <w:marBottom w:val="0"/>
      <w:divBdr>
        <w:top w:val="none" w:sz="0" w:space="0" w:color="auto"/>
        <w:left w:val="none" w:sz="0" w:space="0" w:color="auto"/>
        <w:bottom w:val="none" w:sz="0" w:space="0" w:color="auto"/>
        <w:right w:val="none" w:sz="0" w:space="0" w:color="auto"/>
      </w:divBdr>
    </w:div>
    <w:div w:id="1633749846">
      <w:bodyDiv w:val="1"/>
      <w:marLeft w:val="0"/>
      <w:marRight w:val="0"/>
      <w:marTop w:val="0"/>
      <w:marBottom w:val="0"/>
      <w:divBdr>
        <w:top w:val="none" w:sz="0" w:space="0" w:color="auto"/>
        <w:left w:val="none" w:sz="0" w:space="0" w:color="auto"/>
        <w:bottom w:val="none" w:sz="0" w:space="0" w:color="auto"/>
        <w:right w:val="none" w:sz="0" w:space="0" w:color="auto"/>
      </w:divBdr>
    </w:div>
    <w:div w:id="169865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2364219F734093B0A80A70A330CB25"/>
        <w:category>
          <w:name w:val="General"/>
          <w:gallery w:val="placeholder"/>
        </w:category>
        <w:types>
          <w:type w:val="bbPlcHdr"/>
        </w:types>
        <w:behaviors>
          <w:behavior w:val="content"/>
        </w:behaviors>
        <w:guid w:val="{BD123123-66FB-40E8-A7D7-8201BCA85F1D}"/>
      </w:docPartPr>
      <w:docPartBody>
        <w:p w:rsidR="00CA0EDB" w:rsidRDefault="00D724F5" w:rsidP="00D724F5">
          <w:pPr>
            <w:pStyle w:val="742364219F734093B0A80A70A330CB2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724F5"/>
    <w:rsid w:val="0013051E"/>
    <w:rsid w:val="003B0AC0"/>
    <w:rsid w:val="00B71368"/>
    <w:rsid w:val="00CA0EDB"/>
    <w:rsid w:val="00D724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E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2364219F734093B0A80A70A330CB25">
    <w:name w:val="742364219F734093B0A80A70A330CB25"/>
    <w:rsid w:val="00D724F5"/>
  </w:style>
  <w:style w:type="paragraph" w:customStyle="1" w:styleId="E28F71B165874016B620E016B095E145">
    <w:name w:val="E28F71B165874016B620E016B095E145"/>
    <w:rsid w:val="00CA0EDB"/>
    <w:rPr>
      <w:szCs w:val="22"/>
      <w:lang w:bidi="ar-SA"/>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4504</Words>
  <Characters>25674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ISSN..XXXX                                                                                 Vol...Issue..(June-Aug.2026)</dc:title>
  <dc:subject/>
  <dc:creator>USER</dc:creator>
  <cp:keywords/>
  <dc:description/>
  <cp:lastModifiedBy>TMU-7</cp:lastModifiedBy>
  <cp:revision>19</cp:revision>
  <dcterms:created xsi:type="dcterms:W3CDTF">2026-04-24T14:52:00Z</dcterms:created>
  <dcterms:modified xsi:type="dcterms:W3CDTF">2026-05-29T10:21:00Z</dcterms:modified>
</cp:coreProperties>
</file>